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FBE" w:rsidRPr="00F24406" w:rsidRDefault="001F3FBE" w:rsidP="00F24406">
      <w:pPr>
        <w:pStyle w:val="Encabezado"/>
        <w:contextualSpacing/>
        <w:jc w:val="center"/>
        <w:rPr>
          <w:rFonts w:cstheme="minorHAnsi"/>
          <w:b/>
          <w:bCs/>
          <w:sz w:val="24"/>
          <w:szCs w:val="24"/>
        </w:rPr>
      </w:pPr>
    </w:p>
    <w:p w:rsidR="00635017" w:rsidRDefault="00635017" w:rsidP="00F24406">
      <w:pPr>
        <w:pStyle w:val="Encabezado"/>
        <w:contextualSpacing/>
        <w:jc w:val="center"/>
        <w:rPr>
          <w:rFonts w:cstheme="minorHAnsi"/>
          <w:b/>
          <w:bCs/>
          <w:sz w:val="24"/>
          <w:szCs w:val="24"/>
        </w:rPr>
      </w:pPr>
      <w:r w:rsidRPr="00327547">
        <w:rPr>
          <w:noProof/>
          <w:lang w:eastAsia="es-UY"/>
        </w:rPr>
        <w:drawing>
          <wp:inline distT="0" distB="0" distL="0" distR="0" wp14:anchorId="389DCCBE" wp14:editId="18C461AE">
            <wp:extent cx="3446145" cy="723265"/>
            <wp:effectExtent l="0" t="0" r="0" b="0"/>
            <wp:docPr id="2" name="0 Imagen" descr="Descripción: logoDtoSoci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DtoSociolog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145" cy="723265"/>
                    </a:xfrm>
                    <a:prstGeom prst="rect">
                      <a:avLst/>
                    </a:prstGeom>
                    <a:noFill/>
                    <a:ln>
                      <a:noFill/>
                    </a:ln>
                  </pic:spPr>
                </pic:pic>
              </a:graphicData>
            </a:graphic>
          </wp:inline>
        </w:drawing>
      </w:r>
    </w:p>
    <w:p w:rsidR="001F3FBE" w:rsidRPr="00F24406" w:rsidRDefault="001F3FBE" w:rsidP="00F24406">
      <w:pPr>
        <w:pStyle w:val="Encabezado"/>
        <w:contextualSpacing/>
        <w:jc w:val="center"/>
        <w:rPr>
          <w:rFonts w:cstheme="minorHAnsi"/>
          <w:b/>
          <w:bCs/>
          <w:sz w:val="24"/>
          <w:szCs w:val="24"/>
        </w:rPr>
      </w:pPr>
      <w:r w:rsidRPr="00F24406">
        <w:rPr>
          <w:rFonts w:cstheme="minorHAnsi"/>
          <w:b/>
          <w:bCs/>
          <w:sz w:val="24"/>
          <w:szCs w:val="24"/>
        </w:rPr>
        <w:t>PROGRAMA</w:t>
      </w:r>
    </w:p>
    <w:p w:rsidR="001F3FBE" w:rsidRPr="00F24406" w:rsidRDefault="001F3FBE" w:rsidP="00F24406">
      <w:pPr>
        <w:pStyle w:val="Encabezado"/>
        <w:contextualSpacing/>
        <w:jc w:val="center"/>
        <w:rPr>
          <w:rFonts w:cstheme="minorHAnsi"/>
          <w:b/>
          <w:bCs/>
          <w:sz w:val="24"/>
          <w:szCs w:val="24"/>
        </w:rPr>
      </w:pPr>
      <w:r w:rsidRPr="00F24406">
        <w:rPr>
          <w:rFonts w:cstheme="minorHAnsi"/>
          <w:b/>
          <w:bCs/>
          <w:sz w:val="24"/>
          <w:szCs w:val="24"/>
        </w:rPr>
        <w:t>TEORÍA SOCIOLÓGICA IV</w:t>
      </w:r>
    </w:p>
    <w:p w:rsidR="001F3FBE" w:rsidRPr="00F24406" w:rsidRDefault="001F3FBE" w:rsidP="00F24406">
      <w:pPr>
        <w:pStyle w:val="Encabezado"/>
        <w:contextualSpacing/>
        <w:jc w:val="center"/>
        <w:rPr>
          <w:rFonts w:cstheme="minorHAnsi"/>
          <w:b/>
          <w:bCs/>
          <w:sz w:val="24"/>
          <w:szCs w:val="24"/>
        </w:rPr>
      </w:pPr>
      <w:r w:rsidRPr="00F24406">
        <w:rPr>
          <w:rFonts w:cstheme="minorHAnsi"/>
          <w:b/>
          <w:bCs/>
          <w:sz w:val="24"/>
          <w:szCs w:val="24"/>
        </w:rPr>
        <w:t>Edición 2019</w:t>
      </w:r>
    </w:p>
    <w:p w:rsidR="001F3FBE" w:rsidRPr="00F24406" w:rsidRDefault="001F3FBE" w:rsidP="00F24406">
      <w:pPr>
        <w:pStyle w:val="Encabezado"/>
        <w:contextualSpacing/>
        <w:jc w:val="center"/>
        <w:rPr>
          <w:rFonts w:cstheme="minorHAnsi"/>
          <w:b/>
          <w:bCs/>
          <w:sz w:val="24"/>
          <w:szCs w:val="24"/>
        </w:rPr>
      </w:pPr>
      <w:r w:rsidRPr="00F24406">
        <w:rPr>
          <w:rFonts w:cstheme="minorHAnsi"/>
          <w:b/>
          <w:bCs/>
          <w:sz w:val="24"/>
          <w:szCs w:val="24"/>
        </w:rPr>
        <w:t>Plan 2009</w:t>
      </w:r>
    </w:p>
    <w:p w:rsidR="001F3FBE" w:rsidRPr="00F24406" w:rsidRDefault="001F3FBE" w:rsidP="00F24406">
      <w:pPr>
        <w:pStyle w:val="Encabezado"/>
        <w:contextualSpacing/>
        <w:jc w:val="center"/>
        <w:rPr>
          <w:rFonts w:cstheme="minorHAnsi"/>
          <w:b/>
          <w:bCs/>
          <w:sz w:val="24"/>
          <w:szCs w:val="24"/>
        </w:rPr>
      </w:pPr>
      <w:r w:rsidRPr="00F24406">
        <w:rPr>
          <w:rFonts w:cstheme="minorHAnsi"/>
          <w:b/>
          <w:bCs/>
          <w:sz w:val="24"/>
          <w:szCs w:val="24"/>
        </w:rPr>
        <w:t>Ciclo avanzado</w:t>
      </w:r>
    </w:p>
    <w:p w:rsidR="00131947" w:rsidRPr="00F24406" w:rsidRDefault="00131947" w:rsidP="00F24406">
      <w:pPr>
        <w:spacing w:after="0" w:line="240" w:lineRule="auto"/>
        <w:contextualSpacing/>
        <w:rPr>
          <w:rFonts w:cstheme="minorHAnsi"/>
          <w:sz w:val="24"/>
          <w:szCs w:val="24"/>
        </w:rPr>
      </w:pPr>
    </w:p>
    <w:p w:rsidR="001F3FBE" w:rsidRPr="00F24406" w:rsidRDefault="001F3FBE" w:rsidP="00F24406">
      <w:pPr>
        <w:spacing w:after="0" w:line="240" w:lineRule="auto"/>
        <w:contextualSpacing/>
        <w:rPr>
          <w:rFonts w:cstheme="minorHAnsi"/>
          <w:sz w:val="24"/>
          <w:szCs w:val="24"/>
        </w:rPr>
      </w:pPr>
    </w:p>
    <w:p w:rsidR="001F3FBE" w:rsidRPr="00F24406" w:rsidRDefault="001F3FBE" w:rsidP="00F24406">
      <w:pPr>
        <w:pStyle w:val="Prrafodelista"/>
        <w:numPr>
          <w:ilvl w:val="0"/>
          <w:numId w:val="1"/>
        </w:numPr>
        <w:spacing w:after="0" w:line="240" w:lineRule="auto"/>
        <w:ind w:left="426" w:hanging="426"/>
        <w:jc w:val="both"/>
        <w:rPr>
          <w:rFonts w:cstheme="minorHAnsi"/>
          <w:b/>
          <w:bCs/>
          <w:sz w:val="24"/>
          <w:szCs w:val="24"/>
        </w:rPr>
      </w:pPr>
      <w:r w:rsidRPr="00F24406">
        <w:rPr>
          <w:rFonts w:cstheme="minorHAnsi"/>
          <w:b/>
          <w:bCs/>
          <w:sz w:val="24"/>
          <w:szCs w:val="24"/>
        </w:rPr>
        <w:t xml:space="preserve">Docentes: </w:t>
      </w:r>
      <w:r w:rsidRPr="00F24406">
        <w:rPr>
          <w:rFonts w:cstheme="minorHAnsi"/>
          <w:sz w:val="24"/>
          <w:szCs w:val="24"/>
        </w:rPr>
        <w:t xml:space="preserve">Susana Mallo; Gabriel Tenenbaum; Bruno </w:t>
      </w:r>
      <w:proofErr w:type="spellStart"/>
      <w:r w:rsidRPr="00F24406">
        <w:rPr>
          <w:rFonts w:cstheme="minorHAnsi"/>
          <w:sz w:val="24"/>
          <w:szCs w:val="24"/>
        </w:rPr>
        <w:t>Andreoli</w:t>
      </w:r>
      <w:proofErr w:type="spellEnd"/>
      <w:r w:rsidRPr="00F24406">
        <w:rPr>
          <w:rFonts w:cstheme="minorHAnsi"/>
          <w:b/>
          <w:bCs/>
          <w:sz w:val="24"/>
          <w:szCs w:val="24"/>
        </w:rPr>
        <w:t xml:space="preserve"> </w:t>
      </w:r>
    </w:p>
    <w:p w:rsidR="0031414D" w:rsidRPr="00F24406" w:rsidRDefault="0031414D" w:rsidP="00F24406">
      <w:pPr>
        <w:spacing w:after="0" w:line="240" w:lineRule="auto"/>
        <w:jc w:val="both"/>
        <w:rPr>
          <w:rFonts w:cstheme="minorHAnsi"/>
          <w:b/>
          <w:bCs/>
          <w:sz w:val="24"/>
          <w:szCs w:val="24"/>
        </w:rPr>
      </w:pPr>
    </w:p>
    <w:p w:rsidR="001F3FBE" w:rsidRPr="00F24406" w:rsidRDefault="001F3FBE" w:rsidP="00F24406">
      <w:pPr>
        <w:pStyle w:val="Prrafodelista"/>
        <w:numPr>
          <w:ilvl w:val="0"/>
          <w:numId w:val="1"/>
        </w:numPr>
        <w:spacing w:after="0" w:line="240" w:lineRule="auto"/>
        <w:ind w:left="426" w:hanging="426"/>
        <w:jc w:val="both"/>
        <w:rPr>
          <w:rFonts w:cstheme="minorHAnsi"/>
          <w:b/>
          <w:bCs/>
          <w:sz w:val="24"/>
          <w:szCs w:val="24"/>
        </w:rPr>
      </w:pPr>
      <w:r w:rsidRPr="00F24406">
        <w:rPr>
          <w:rFonts w:cstheme="minorHAnsi"/>
          <w:b/>
          <w:bCs/>
          <w:sz w:val="24"/>
          <w:szCs w:val="24"/>
        </w:rPr>
        <w:t xml:space="preserve">Créditos: </w:t>
      </w:r>
      <w:r w:rsidRPr="00F24406">
        <w:rPr>
          <w:rFonts w:cstheme="minorHAnsi"/>
          <w:sz w:val="24"/>
          <w:szCs w:val="24"/>
        </w:rPr>
        <w:t>10</w:t>
      </w:r>
      <w:r w:rsidR="003F4889" w:rsidRPr="00F24406">
        <w:rPr>
          <w:rFonts w:cstheme="minorHAnsi"/>
          <w:sz w:val="24"/>
          <w:szCs w:val="24"/>
        </w:rPr>
        <w:t>.</w:t>
      </w:r>
    </w:p>
    <w:p w:rsidR="0031414D" w:rsidRPr="00F24406" w:rsidRDefault="0031414D" w:rsidP="00F24406">
      <w:pPr>
        <w:spacing w:after="0" w:line="240" w:lineRule="auto"/>
        <w:jc w:val="both"/>
        <w:rPr>
          <w:rFonts w:cstheme="minorHAnsi"/>
          <w:b/>
          <w:bCs/>
          <w:sz w:val="24"/>
          <w:szCs w:val="24"/>
        </w:rPr>
      </w:pPr>
    </w:p>
    <w:p w:rsidR="003F4889" w:rsidRPr="00F24406" w:rsidRDefault="001F3FBE" w:rsidP="00F24406">
      <w:pPr>
        <w:pStyle w:val="Prrafodelista"/>
        <w:numPr>
          <w:ilvl w:val="0"/>
          <w:numId w:val="1"/>
        </w:numPr>
        <w:spacing w:after="0" w:line="240" w:lineRule="auto"/>
        <w:ind w:left="426" w:hanging="426"/>
        <w:jc w:val="both"/>
        <w:rPr>
          <w:rFonts w:cstheme="minorHAnsi"/>
          <w:b/>
          <w:bCs/>
          <w:sz w:val="24"/>
          <w:szCs w:val="24"/>
        </w:rPr>
      </w:pPr>
      <w:r w:rsidRPr="00F24406">
        <w:rPr>
          <w:rFonts w:cstheme="minorHAnsi"/>
          <w:b/>
          <w:bCs/>
          <w:sz w:val="24"/>
          <w:szCs w:val="24"/>
        </w:rPr>
        <w:t>Carga horaria</w:t>
      </w:r>
      <w:r w:rsidR="003F4889" w:rsidRPr="00F24406">
        <w:rPr>
          <w:rFonts w:cstheme="minorHAnsi"/>
          <w:b/>
          <w:bCs/>
          <w:sz w:val="24"/>
          <w:szCs w:val="24"/>
        </w:rPr>
        <w:t>:</w:t>
      </w:r>
      <w:r w:rsidRPr="00F24406">
        <w:rPr>
          <w:rFonts w:cstheme="minorHAnsi"/>
          <w:b/>
          <w:bCs/>
          <w:sz w:val="24"/>
          <w:szCs w:val="24"/>
        </w:rPr>
        <w:t xml:space="preserve"> </w:t>
      </w:r>
    </w:p>
    <w:p w:rsidR="00635017" w:rsidRDefault="00635017" w:rsidP="00F24406">
      <w:pPr>
        <w:spacing w:after="0" w:line="240" w:lineRule="auto"/>
        <w:contextualSpacing/>
        <w:jc w:val="both"/>
        <w:rPr>
          <w:rStyle w:val="nfasis"/>
          <w:rFonts w:eastAsia="Times New Roman" w:cstheme="minorHAnsi"/>
          <w:i w:val="0"/>
          <w:iCs w:val="0"/>
          <w:sz w:val="24"/>
          <w:szCs w:val="24"/>
        </w:rPr>
      </w:pPr>
      <w:r>
        <w:rPr>
          <w:rStyle w:val="nfasis"/>
          <w:rFonts w:eastAsia="Times New Roman" w:cstheme="minorHAnsi"/>
          <w:i w:val="0"/>
          <w:iCs w:val="0"/>
          <w:sz w:val="24"/>
          <w:szCs w:val="24"/>
        </w:rPr>
        <w:t>El tiempo de aula</w:t>
      </w:r>
      <w:r w:rsidR="003F4889" w:rsidRPr="00F24406">
        <w:rPr>
          <w:rStyle w:val="nfasis"/>
          <w:rFonts w:eastAsia="Times New Roman" w:cstheme="minorHAnsi"/>
          <w:i w:val="0"/>
          <w:iCs w:val="0"/>
          <w:sz w:val="24"/>
          <w:szCs w:val="24"/>
        </w:rPr>
        <w:t xml:space="preserve"> se compone de </w:t>
      </w:r>
      <w:r>
        <w:rPr>
          <w:rStyle w:val="nfasis"/>
          <w:rFonts w:eastAsia="Times New Roman" w:cstheme="minorHAnsi"/>
          <w:i w:val="0"/>
          <w:iCs w:val="0"/>
          <w:sz w:val="24"/>
          <w:szCs w:val="24"/>
        </w:rPr>
        <w:t>3</w:t>
      </w:r>
      <w:r w:rsidR="001F3FBE" w:rsidRPr="00F24406">
        <w:rPr>
          <w:rStyle w:val="nfasis"/>
          <w:rFonts w:eastAsia="Times New Roman" w:cstheme="minorHAnsi"/>
          <w:i w:val="0"/>
          <w:iCs w:val="0"/>
          <w:sz w:val="24"/>
          <w:szCs w:val="24"/>
        </w:rPr>
        <w:t xml:space="preserve"> horas semanales de </w:t>
      </w:r>
      <w:r>
        <w:rPr>
          <w:rStyle w:val="nfasis"/>
          <w:rFonts w:eastAsia="Times New Roman" w:cstheme="minorHAnsi"/>
          <w:i w:val="0"/>
          <w:iCs w:val="0"/>
          <w:sz w:val="24"/>
          <w:szCs w:val="24"/>
        </w:rPr>
        <w:t xml:space="preserve">clase </w:t>
      </w:r>
      <w:r w:rsidR="001F3FBE" w:rsidRPr="00F24406">
        <w:rPr>
          <w:rStyle w:val="nfasis"/>
          <w:rFonts w:eastAsia="Times New Roman" w:cstheme="minorHAnsi"/>
          <w:i w:val="0"/>
          <w:iCs w:val="0"/>
          <w:sz w:val="24"/>
          <w:szCs w:val="24"/>
        </w:rPr>
        <w:t>teóric</w:t>
      </w:r>
      <w:r>
        <w:rPr>
          <w:rStyle w:val="nfasis"/>
          <w:rFonts w:eastAsia="Times New Roman" w:cstheme="minorHAnsi"/>
          <w:i w:val="0"/>
          <w:iCs w:val="0"/>
          <w:sz w:val="24"/>
          <w:szCs w:val="24"/>
        </w:rPr>
        <w:t>a</w:t>
      </w:r>
      <w:r w:rsidR="001F3FBE" w:rsidRPr="00F24406">
        <w:rPr>
          <w:rStyle w:val="nfasis"/>
          <w:rFonts w:eastAsia="Times New Roman" w:cstheme="minorHAnsi"/>
          <w:i w:val="0"/>
          <w:iCs w:val="0"/>
          <w:sz w:val="24"/>
          <w:szCs w:val="24"/>
        </w:rPr>
        <w:t xml:space="preserve"> (</w:t>
      </w:r>
      <w:r>
        <w:rPr>
          <w:rStyle w:val="nfasis"/>
          <w:rFonts w:eastAsia="Times New Roman" w:cstheme="minorHAnsi"/>
          <w:i w:val="0"/>
          <w:iCs w:val="0"/>
          <w:sz w:val="24"/>
          <w:szCs w:val="24"/>
        </w:rPr>
        <w:t>45</w:t>
      </w:r>
      <w:r w:rsidR="001F3FBE" w:rsidRPr="00F24406">
        <w:rPr>
          <w:rStyle w:val="nfasis"/>
          <w:rFonts w:eastAsia="Times New Roman" w:cstheme="minorHAnsi"/>
          <w:i w:val="0"/>
          <w:iCs w:val="0"/>
          <w:sz w:val="24"/>
          <w:szCs w:val="24"/>
        </w:rPr>
        <w:t xml:space="preserve"> horas en el semestre)</w:t>
      </w:r>
      <w:r>
        <w:rPr>
          <w:rStyle w:val="nfasis"/>
          <w:rFonts w:eastAsia="Times New Roman" w:cstheme="minorHAnsi"/>
          <w:i w:val="0"/>
          <w:iCs w:val="0"/>
          <w:sz w:val="24"/>
          <w:szCs w:val="24"/>
        </w:rPr>
        <w:t xml:space="preserve"> y</w:t>
      </w:r>
      <w:r w:rsidR="001F3FBE" w:rsidRPr="00F24406">
        <w:rPr>
          <w:rStyle w:val="nfasis"/>
          <w:rFonts w:eastAsia="Times New Roman" w:cstheme="minorHAnsi"/>
          <w:i w:val="0"/>
          <w:iCs w:val="0"/>
          <w:sz w:val="24"/>
          <w:szCs w:val="24"/>
        </w:rPr>
        <w:t xml:space="preserve"> 2 horas semanales de </w:t>
      </w:r>
      <w:r>
        <w:rPr>
          <w:rStyle w:val="nfasis"/>
          <w:rFonts w:eastAsia="Times New Roman" w:cstheme="minorHAnsi"/>
          <w:i w:val="0"/>
          <w:iCs w:val="0"/>
          <w:sz w:val="24"/>
          <w:szCs w:val="24"/>
        </w:rPr>
        <w:t xml:space="preserve">clase </w:t>
      </w:r>
      <w:r w:rsidR="001F3FBE" w:rsidRPr="00F24406">
        <w:rPr>
          <w:rStyle w:val="nfasis"/>
          <w:rFonts w:eastAsia="Times New Roman" w:cstheme="minorHAnsi"/>
          <w:i w:val="0"/>
          <w:iCs w:val="0"/>
          <w:sz w:val="24"/>
          <w:szCs w:val="24"/>
        </w:rPr>
        <w:t>práctic</w:t>
      </w:r>
      <w:r>
        <w:rPr>
          <w:rStyle w:val="nfasis"/>
          <w:rFonts w:eastAsia="Times New Roman" w:cstheme="minorHAnsi"/>
          <w:i w:val="0"/>
          <w:iCs w:val="0"/>
          <w:sz w:val="24"/>
          <w:szCs w:val="24"/>
        </w:rPr>
        <w:t>a</w:t>
      </w:r>
      <w:r w:rsidR="001F3FBE" w:rsidRPr="00F24406">
        <w:rPr>
          <w:rStyle w:val="nfasis"/>
          <w:rFonts w:eastAsia="Times New Roman" w:cstheme="minorHAnsi"/>
          <w:i w:val="0"/>
          <w:iCs w:val="0"/>
          <w:sz w:val="24"/>
          <w:szCs w:val="24"/>
        </w:rPr>
        <w:t xml:space="preserve"> (30 horas en el semestre)</w:t>
      </w:r>
      <w:r>
        <w:rPr>
          <w:rStyle w:val="nfasis"/>
          <w:rFonts w:eastAsia="Times New Roman" w:cstheme="minorHAnsi"/>
          <w:i w:val="0"/>
          <w:iCs w:val="0"/>
          <w:sz w:val="24"/>
          <w:szCs w:val="24"/>
        </w:rPr>
        <w:t>.</w:t>
      </w:r>
      <w:r w:rsidR="001F3FBE" w:rsidRPr="00F24406">
        <w:rPr>
          <w:rStyle w:val="nfasis"/>
          <w:rFonts w:eastAsia="Times New Roman" w:cstheme="minorHAnsi"/>
          <w:i w:val="0"/>
          <w:iCs w:val="0"/>
          <w:sz w:val="24"/>
          <w:szCs w:val="24"/>
        </w:rPr>
        <w:t xml:space="preserve"> </w:t>
      </w:r>
      <w:r>
        <w:rPr>
          <w:rStyle w:val="nfasis"/>
          <w:rFonts w:eastAsia="Times New Roman" w:cstheme="minorHAnsi"/>
          <w:i w:val="0"/>
          <w:iCs w:val="0"/>
          <w:sz w:val="24"/>
          <w:szCs w:val="24"/>
        </w:rPr>
        <w:t xml:space="preserve">De este modo, el tiempo total de aula del curso es de </w:t>
      </w:r>
      <w:r w:rsidRPr="00635017">
        <w:rPr>
          <w:rStyle w:val="nfasis"/>
          <w:rFonts w:eastAsia="Times New Roman" w:cstheme="minorHAnsi"/>
          <w:i w:val="0"/>
          <w:iCs w:val="0"/>
          <w:sz w:val="24"/>
          <w:szCs w:val="24"/>
        </w:rPr>
        <w:t>75 horas</w:t>
      </w:r>
      <w:r>
        <w:rPr>
          <w:rStyle w:val="nfasis"/>
          <w:rFonts w:eastAsia="Times New Roman" w:cstheme="minorHAnsi"/>
          <w:i w:val="0"/>
          <w:iCs w:val="0"/>
          <w:sz w:val="24"/>
          <w:szCs w:val="24"/>
        </w:rPr>
        <w:t>.</w:t>
      </w:r>
    </w:p>
    <w:p w:rsidR="001F3FBE" w:rsidRPr="00F24406" w:rsidRDefault="001F3FBE" w:rsidP="00F24406">
      <w:pPr>
        <w:pStyle w:val="Prrafodelista"/>
        <w:spacing w:after="0" w:line="240" w:lineRule="auto"/>
        <w:jc w:val="both"/>
        <w:rPr>
          <w:rFonts w:cstheme="minorHAnsi"/>
          <w:b/>
          <w:bCs/>
          <w:sz w:val="24"/>
          <w:szCs w:val="24"/>
        </w:rPr>
      </w:pPr>
    </w:p>
    <w:p w:rsidR="001F3FBE" w:rsidRPr="00F24406" w:rsidRDefault="001F3FBE" w:rsidP="00F24406">
      <w:pPr>
        <w:pStyle w:val="Prrafodelista"/>
        <w:numPr>
          <w:ilvl w:val="0"/>
          <w:numId w:val="1"/>
        </w:numPr>
        <w:spacing w:after="0" w:line="240" w:lineRule="auto"/>
        <w:ind w:left="426" w:hanging="426"/>
        <w:jc w:val="both"/>
        <w:rPr>
          <w:rFonts w:cstheme="minorHAnsi"/>
          <w:b/>
          <w:bCs/>
          <w:sz w:val="24"/>
          <w:szCs w:val="24"/>
        </w:rPr>
      </w:pPr>
      <w:r w:rsidRPr="00F24406">
        <w:rPr>
          <w:rFonts w:cstheme="minorHAnsi"/>
          <w:b/>
          <w:bCs/>
          <w:sz w:val="24"/>
          <w:szCs w:val="24"/>
        </w:rPr>
        <w:t xml:space="preserve">Modalidad de enseñanza: </w:t>
      </w:r>
      <w:r w:rsidR="00635017">
        <w:rPr>
          <w:rFonts w:cstheme="minorHAnsi"/>
          <w:sz w:val="24"/>
          <w:szCs w:val="24"/>
        </w:rPr>
        <w:t>Teórico y práctico</w:t>
      </w:r>
      <w:r w:rsidRPr="00F24406">
        <w:rPr>
          <w:rFonts w:cstheme="minorHAnsi"/>
          <w:sz w:val="24"/>
          <w:szCs w:val="24"/>
        </w:rPr>
        <w:t xml:space="preserve">. </w:t>
      </w:r>
    </w:p>
    <w:p w:rsidR="0031414D" w:rsidRPr="00F24406" w:rsidRDefault="0031414D" w:rsidP="00F24406">
      <w:pPr>
        <w:spacing w:after="0" w:line="240" w:lineRule="auto"/>
        <w:jc w:val="both"/>
        <w:rPr>
          <w:rFonts w:cstheme="minorHAnsi"/>
          <w:b/>
          <w:bCs/>
          <w:sz w:val="24"/>
          <w:szCs w:val="24"/>
        </w:rPr>
      </w:pPr>
    </w:p>
    <w:p w:rsidR="001F3FBE" w:rsidRPr="00F24406" w:rsidRDefault="001F3FBE" w:rsidP="00F24406">
      <w:pPr>
        <w:pStyle w:val="Prrafodelista"/>
        <w:numPr>
          <w:ilvl w:val="0"/>
          <w:numId w:val="1"/>
        </w:numPr>
        <w:spacing w:after="0" w:line="240" w:lineRule="auto"/>
        <w:ind w:left="426" w:hanging="426"/>
        <w:jc w:val="both"/>
        <w:rPr>
          <w:rFonts w:cstheme="minorHAnsi"/>
          <w:b/>
          <w:bCs/>
          <w:sz w:val="24"/>
          <w:szCs w:val="24"/>
        </w:rPr>
      </w:pPr>
      <w:r w:rsidRPr="00F24406">
        <w:rPr>
          <w:rFonts w:cstheme="minorHAnsi"/>
          <w:b/>
          <w:bCs/>
          <w:sz w:val="24"/>
          <w:szCs w:val="24"/>
        </w:rPr>
        <w:t>Conocimientos previos recomendados</w:t>
      </w:r>
      <w:r w:rsidR="0031414D" w:rsidRPr="00F24406">
        <w:rPr>
          <w:rFonts w:cstheme="minorHAnsi"/>
          <w:b/>
          <w:bCs/>
          <w:sz w:val="24"/>
          <w:szCs w:val="24"/>
        </w:rPr>
        <w:t>:</w:t>
      </w:r>
      <w:r w:rsidRPr="00F24406">
        <w:rPr>
          <w:rFonts w:cstheme="minorHAnsi"/>
          <w:b/>
          <w:bCs/>
          <w:sz w:val="24"/>
          <w:szCs w:val="24"/>
        </w:rPr>
        <w:t xml:space="preserve"> </w:t>
      </w:r>
    </w:p>
    <w:p w:rsidR="0031414D" w:rsidRPr="00F24406" w:rsidRDefault="0031414D" w:rsidP="00F24406">
      <w:pPr>
        <w:spacing w:after="0" w:line="240" w:lineRule="auto"/>
        <w:contextualSpacing/>
        <w:jc w:val="both"/>
        <w:rPr>
          <w:rFonts w:cstheme="minorHAnsi"/>
          <w:b/>
          <w:bCs/>
          <w:sz w:val="24"/>
          <w:szCs w:val="24"/>
        </w:rPr>
      </w:pPr>
      <w:r w:rsidRPr="00F24406">
        <w:rPr>
          <w:rFonts w:cstheme="minorHAnsi"/>
          <w:sz w:val="24"/>
          <w:szCs w:val="24"/>
        </w:rPr>
        <w:t>Es importante que los estudiantes conozcan los principales paradigmas y corrientes de la Teoría Social y Sociológica, así como los dilemas y debates tradicionales de la disciplina.</w:t>
      </w:r>
    </w:p>
    <w:p w:rsidR="0031414D" w:rsidRPr="00F24406" w:rsidRDefault="0031414D" w:rsidP="00F24406">
      <w:pPr>
        <w:spacing w:after="0" w:line="240" w:lineRule="auto"/>
        <w:contextualSpacing/>
        <w:jc w:val="both"/>
        <w:rPr>
          <w:rFonts w:cstheme="minorHAnsi"/>
          <w:b/>
          <w:bCs/>
          <w:sz w:val="24"/>
          <w:szCs w:val="24"/>
        </w:rPr>
      </w:pPr>
    </w:p>
    <w:p w:rsidR="003F4889" w:rsidRPr="00F24406" w:rsidRDefault="001F3FBE" w:rsidP="00F24406">
      <w:pPr>
        <w:pStyle w:val="Prrafodelista"/>
        <w:numPr>
          <w:ilvl w:val="0"/>
          <w:numId w:val="1"/>
        </w:numPr>
        <w:spacing w:after="0" w:line="240" w:lineRule="auto"/>
        <w:ind w:left="426" w:hanging="426"/>
        <w:jc w:val="both"/>
        <w:rPr>
          <w:rFonts w:cstheme="minorHAnsi"/>
          <w:b/>
          <w:bCs/>
          <w:sz w:val="24"/>
          <w:szCs w:val="24"/>
        </w:rPr>
      </w:pPr>
      <w:r w:rsidRPr="00F24406">
        <w:rPr>
          <w:rFonts w:cstheme="minorHAnsi"/>
          <w:b/>
          <w:bCs/>
          <w:sz w:val="24"/>
          <w:szCs w:val="24"/>
        </w:rPr>
        <w:t>Objetivos</w:t>
      </w:r>
      <w:r w:rsidR="003F4889" w:rsidRPr="00F24406">
        <w:rPr>
          <w:rFonts w:cstheme="minorHAnsi"/>
          <w:b/>
          <w:bCs/>
          <w:sz w:val="24"/>
          <w:szCs w:val="24"/>
        </w:rPr>
        <w:t>:</w:t>
      </w:r>
    </w:p>
    <w:p w:rsidR="003F4889" w:rsidRPr="00F24406" w:rsidRDefault="003F4889" w:rsidP="00F24406">
      <w:pPr>
        <w:spacing w:after="0" w:line="240" w:lineRule="auto"/>
        <w:contextualSpacing/>
        <w:jc w:val="both"/>
        <w:rPr>
          <w:rFonts w:cstheme="minorHAnsi"/>
          <w:sz w:val="24"/>
          <w:szCs w:val="24"/>
        </w:rPr>
      </w:pPr>
      <w:r w:rsidRPr="00F24406">
        <w:rPr>
          <w:rFonts w:cstheme="minorHAnsi"/>
          <w:sz w:val="24"/>
          <w:szCs w:val="24"/>
        </w:rPr>
        <w:t>El objeto general del curso es introducir producciones de la teoría social, sociológica y filosófica que renuevan la confrontación de enfoques, el debate, proponiendo el abordaje de lo contingente frente a los enfoques clásicos con pretensión universalista. La selección temática se articula en torno a ejes relevantes de la discusión contemporánea: disolución del paradigma moderno, significado de la historia, centralidad del sujeto, el problema de la ética y la virtualidad de espacios políticos alternativos; ejes que ponen en tela de juicio los modelos de la sociología clásica para pensar la interacción. El curso se propone pues, informar sobre el estado actual de los debates teóricos a la vez que pensar críticamente sobre el conjunto de categorías con las cuales se intenta “cartografiar” este inicio de milenio.</w:t>
      </w:r>
    </w:p>
    <w:p w:rsidR="003F4889" w:rsidRPr="00F24406" w:rsidRDefault="003F4889" w:rsidP="00F24406">
      <w:pPr>
        <w:spacing w:after="0" w:line="240" w:lineRule="auto"/>
        <w:contextualSpacing/>
        <w:jc w:val="both"/>
        <w:rPr>
          <w:rFonts w:cstheme="minorHAnsi"/>
          <w:sz w:val="24"/>
          <w:szCs w:val="24"/>
        </w:rPr>
      </w:pPr>
      <w:r w:rsidRPr="00F24406">
        <w:rPr>
          <w:rFonts w:cstheme="minorHAnsi"/>
          <w:sz w:val="24"/>
          <w:szCs w:val="24"/>
        </w:rPr>
        <w:t>Los objeti</w:t>
      </w:r>
      <w:r w:rsidR="004B2BB7" w:rsidRPr="00F24406">
        <w:rPr>
          <w:rFonts w:cstheme="minorHAnsi"/>
          <w:sz w:val="24"/>
          <w:szCs w:val="24"/>
        </w:rPr>
        <w:t>vos específicos del curso son:</w:t>
      </w:r>
    </w:p>
    <w:p w:rsidR="004B2BB7" w:rsidRPr="00F24406" w:rsidRDefault="004B2BB7" w:rsidP="00F24406">
      <w:pPr>
        <w:pStyle w:val="Prrafodelista"/>
        <w:numPr>
          <w:ilvl w:val="0"/>
          <w:numId w:val="2"/>
        </w:numPr>
        <w:spacing w:after="0" w:line="240" w:lineRule="auto"/>
        <w:ind w:left="567" w:right="-82" w:hanging="283"/>
        <w:jc w:val="both"/>
        <w:rPr>
          <w:rFonts w:cstheme="minorHAnsi"/>
          <w:sz w:val="24"/>
          <w:szCs w:val="24"/>
        </w:rPr>
      </w:pPr>
      <w:r w:rsidRPr="00F24406">
        <w:rPr>
          <w:rFonts w:cstheme="minorHAnsi"/>
          <w:sz w:val="24"/>
          <w:szCs w:val="24"/>
        </w:rPr>
        <w:t>Inventariar y definir las categorías teóricas presentes en la obra de cada autor señalado en el programa.</w:t>
      </w:r>
    </w:p>
    <w:p w:rsidR="004B2BB7" w:rsidRPr="00F24406" w:rsidRDefault="004B2BB7" w:rsidP="00F24406">
      <w:pPr>
        <w:pStyle w:val="Prrafodelista"/>
        <w:numPr>
          <w:ilvl w:val="0"/>
          <w:numId w:val="2"/>
        </w:numPr>
        <w:spacing w:after="0" w:line="240" w:lineRule="auto"/>
        <w:ind w:left="567" w:right="-82" w:hanging="283"/>
        <w:jc w:val="both"/>
        <w:rPr>
          <w:rFonts w:cstheme="minorHAnsi"/>
          <w:sz w:val="24"/>
          <w:szCs w:val="24"/>
        </w:rPr>
      </w:pPr>
      <w:r w:rsidRPr="00F24406">
        <w:rPr>
          <w:rFonts w:cstheme="minorHAnsi"/>
          <w:sz w:val="24"/>
          <w:szCs w:val="24"/>
        </w:rPr>
        <w:t>Reconstruir la lógica de análisis de los mismos e identificar sus hipótesis y supuestos básicos.</w:t>
      </w:r>
    </w:p>
    <w:p w:rsidR="004B2BB7" w:rsidRPr="00F24406" w:rsidRDefault="004B2BB7" w:rsidP="00F24406">
      <w:pPr>
        <w:pStyle w:val="Prrafodelista"/>
        <w:numPr>
          <w:ilvl w:val="0"/>
          <w:numId w:val="2"/>
        </w:numPr>
        <w:spacing w:after="0" w:line="240" w:lineRule="auto"/>
        <w:ind w:left="567" w:right="-82" w:hanging="283"/>
        <w:jc w:val="both"/>
        <w:rPr>
          <w:rFonts w:cstheme="minorHAnsi"/>
          <w:sz w:val="24"/>
          <w:szCs w:val="24"/>
        </w:rPr>
      </w:pPr>
      <w:r w:rsidRPr="00F24406">
        <w:rPr>
          <w:rFonts w:cstheme="minorHAnsi"/>
          <w:sz w:val="24"/>
          <w:szCs w:val="24"/>
        </w:rPr>
        <w:t xml:space="preserve">Distinguir rupturas y continuidades en torno a núcleos problemáticos y tradiciones teóricas. </w:t>
      </w:r>
    </w:p>
    <w:p w:rsidR="004B2BB7" w:rsidRPr="00F24406" w:rsidRDefault="004B2BB7" w:rsidP="00F24406">
      <w:pPr>
        <w:pStyle w:val="Prrafodelista"/>
        <w:numPr>
          <w:ilvl w:val="0"/>
          <w:numId w:val="2"/>
        </w:numPr>
        <w:spacing w:after="0" w:line="240" w:lineRule="auto"/>
        <w:ind w:left="567" w:hanging="283"/>
        <w:jc w:val="both"/>
        <w:rPr>
          <w:rFonts w:cstheme="minorHAnsi"/>
          <w:b/>
          <w:bCs/>
          <w:sz w:val="24"/>
          <w:szCs w:val="24"/>
        </w:rPr>
      </w:pPr>
      <w:r w:rsidRPr="00F24406">
        <w:rPr>
          <w:rFonts w:cstheme="minorHAnsi"/>
          <w:sz w:val="24"/>
          <w:szCs w:val="24"/>
        </w:rPr>
        <w:t>Estimular el estudio de situaciones específicas, empíricas, utilizando las diferentes lógicas y categorías teóricas.</w:t>
      </w:r>
    </w:p>
    <w:p w:rsidR="00F24406" w:rsidRPr="00F24406" w:rsidRDefault="00F24406" w:rsidP="00F24406">
      <w:pPr>
        <w:spacing w:after="0" w:line="240" w:lineRule="auto"/>
        <w:jc w:val="both"/>
        <w:rPr>
          <w:rFonts w:cstheme="minorHAnsi"/>
          <w:b/>
          <w:bCs/>
          <w:sz w:val="24"/>
          <w:szCs w:val="24"/>
        </w:rPr>
      </w:pPr>
    </w:p>
    <w:p w:rsidR="004B2BB7" w:rsidRPr="00F24406" w:rsidRDefault="001F3FBE" w:rsidP="00F24406">
      <w:pPr>
        <w:pStyle w:val="Prrafodelista"/>
        <w:numPr>
          <w:ilvl w:val="0"/>
          <w:numId w:val="1"/>
        </w:numPr>
        <w:spacing w:after="0" w:line="240" w:lineRule="auto"/>
        <w:ind w:left="426" w:hanging="426"/>
        <w:jc w:val="both"/>
        <w:rPr>
          <w:rFonts w:cstheme="minorHAnsi"/>
          <w:b/>
          <w:bCs/>
          <w:sz w:val="24"/>
          <w:szCs w:val="24"/>
        </w:rPr>
      </w:pPr>
      <w:r w:rsidRPr="00F24406">
        <w:rPr>
          <w:rFonts w:cstheme="minorHAnsi"/>
          <w:b/>
          <w:bCs/>
          <w:sz w:val="24"/>
          <w:szCs w:val="24"/>
        </w:rPr>
        <w:lastRenderedPageBreak/>
        <w:t>Contenidos</w:t>
      </w:r>
    </w:p>
    <w:p w:rsidR="0031414D" w:rsidRPr="00F24406" w:rsidRDefault="0031414D" w:rsidP="00F24406">
      <w:pPr>
        <w:spacing w:after="0" w:line="240" w:lineRule="auto"/>
        <w:ind w:right="-2"/>
        <w:contextualSpacing/>
        <w:jc w:val="both"/>
        <w:rPr>
          <w:rFonts w:cstheme="minorHAnsi"/>
          <w:sz w:val="24"/>
          <w:szCs w:val="24"/>
        </w:rPr>
      </w:pPr>
      <w:r w:rsidRPr="00F24406">
        <w:rPr>
          <w:rFonts w:cstheme="minorHAnsi"/>
          <w:sz w:val="24"/>
          <w:szCs w:val="24"/>
        </w:rPr>
        <w:t>Desde sus inicios, la disciplina sociológica ha sido escrita desde múltiples paradigmas que coexistieron y debatieron entre sí. A diferencia de otras ciencias, nunca se constituyó una única perspectiva dominante y hoy la discusión sobre temas y problemas fundacionales continúa y se complejiza, traspasando los límites de los campos y de las disciplinas.</w:t>
      </w:r>
      <w:r w:rsidRPr="00F24406">
        <w:rPr>
          <w:rStyle w:val="Refdenotaalpie"/>
          <w:rFonts w:cstheme="minorHAnsi"/>
          <w:sz w:val="24"/>
          <w:szCs w:val="24"/>
        </w:rPr>
        <w:footnoteReference w:id="1"/>
      </w:r>
      <w:r w:rsidRPr="00F24406">
        <w:rPr>
          <w:rFonts w:cstheme="minorHAnsi"/>
          <w:sz w:val="24"/>
          <w:szCs w:val="24"/>
        </w:rPr>
        <w:t xml:space="preserve"> La unidad de este programa es el acercamiento a diferentes construcciones teóricas que ofrecen respuestas novedosas a preguntas fundacionales de la tradición sociológica y que generan nuevas preguntas emergentes de la crisis de las tradiciones del siglo XX.</w:t>
      </w:r>
    </w:p>
    <w:p w:rsidR="0031414D" w:rsidRPr="00F24406" w:rsidRDefault="0031414D" w:rsidP="00F24406">
      <w:pPr>
        <w:spacing w:after="0" w:line="240" w:lineRule="auto"/>
        <w:ind w:right="-2" w:firstLine="708"/>
        <w:contextualSpacing/>
        <w:jc w:val="both"/>
        <w:rPr>
          <w:rFonts w:cstheme="minorHAnsi"/>
          <w:sz w:val="24"/>
          <w:szCs w:val="24"/>
        </w:rPr>
      </w:pPr>
      <w:r w:rsidRPr="00F24406">
        <w:rPr>
          <w:rFonts w:cstheme="minorHAnsi"/>
          <w:sz w:val="24"/>
          <w:szCs w:val="24"/>
        </w:rPr>
        <w:t>Problemáticas tradicionales son</w:t>
      </w:r>
      <w:r w:rsidR="00DD67E7" w:rsidRPr="00F24406">
        <w:rPr>
          <w:rFonts w:cstheme="minorHAnsi"/>
          <w:sz w:val="24"/>
          <w:szCs w:val="24"/>
        </w:rPr>
        <w:t>,</w:t>
      </w:r>
      <w:r w:rsidRPr="00F24406">
        <w:rPr>
          <w:rFonts w:cstheme="minorHAnsi"/>
          <w:sz w:val="24"/>
          <w:szCs w:val="24"/>
        </w:rPr>
        <w:t xml:space="preserve"> por ejemplo</w:t>
      </w:r>
      <w:r w:rsidR="00DD67E7" w:rsidRPr="00F24406">
        <w:rPr>
          <w:rFonts w:cstheme="minorHAnsi"/>
          <w:sz w:val="24"/>
          <w:szCs w:val="24"/>
        </w:rPr>
        <w:t>:</w:t>
      </w:r>
      <w:r w:rsidRPr="00F24406">
        <w:rPr>
          <w:rFonts w:cstheme="minorHAnsi"/>
          <w:sz w:val="24"/>
          <w:szCs w:val="24"/>
        </w:rPr>
        <w:t xml:space="preserve"> ¿</w:t>
      </w:r>
      <w:r w:rsidR="00DD67E7" w:rsidRPr="00F24406">
        <w:rPr>
          <w:rFonts w:cstheme="minorHAnsi"/>
          <w:sz w:val="24"/>
          <w:szCs w:val="24"/>
        </w:rPr>
        <w:t>C</w:t>
      </w:r>
      <w:r w:rsidRPr="00F24406">
        <w:rPr>
          <w:rFonts w:cstheme="minorHAnsi"/>
          <w:sz w:val="24"/>
          <w:szCs w:val="24"/>
        </w:rPr>
        <w:t>uál debería ser el objeto de la sociología? ¿</w:t>
      </w:r>
      <w:r w:rsidR="00DD67E7" w:rsidRPr="00F24406">
        <w:rPr>
          <w:rFonts w:cstheme="minorHAnsi"/>
          <w:sz w:val="24"/>
          <w:szCs w:val="24"/>
        </w:rPr>
        <w:t>C</w:t>
      </w:r>
      <w:r w:rsidRPr="00F24406">
        <w:rPr>
          <w:rFonts w:cstheme="minorHAnsi"/>
          <w:sz w:val="24"/>
          <w:szCs w:val="24"/>
        </w:rPr>
        <w:t>ómo puede haber una “ciencia de la sociedad” si los actores sociales tienen “albedrío” y deciden cómo actuar? ¿</w:t>
      </w:r>
      <w:r w:rsidR="00DD67E7" w:rsidRPr="00F24406">
        <w:rPr>
          <w:rFonts w:cstheme="minorHAnsi"/>
          <w:sz w:val="24"/>
          <w:szCs w:val="24"/>
        </w:rPr>
        <w:t>H</w:t>
      </w:r>
      <w:r w:rsidRPr="00F24406">
        <w:rPr>
          <w:rFonts w:cstheme="minorHAnsi"/>
          <w:sz w:val="24"/>
          <w:szCs w:val="24"/>
        </w:rPr>
        <w:t>acia dónde va la historia y cuál es su “motor”? Pero, además, los pensadores de las últimas décadas del siglo XX y de principios del XXI debieron plantearse preguntas también novedosas: ¿Qué tan dependiente es aún el componente más abstracto de la disciplina con respecto al contexto histórico de su nacimiento? La sociología, ¿acaso se ha desprendido –o debería desprenderse- de la Ilustración, el proyecto que le diera dirección, status, objeto y destinatarios? ¿Cuál debería ser el nuevo papel de la teoría sociológica? ¿Cuál es su sustento epistemológico? ¿Cuáles son los nuevos componentes en las construcciones de la democracia política? ¿Cómo se conceptualizan los cambios en la dimensión inclusión-exclusión en la sociedad? ¿Es conveniente hablar de una “sociedad global”?</w:t>
      </w:r>
    </w:p>
    <w:p w:rsidR="0031414D" w:rsidRPr="00F24406" w:rsidRDefault="0031414D" w:rsidP="00F24406">
      <w:pPr>
        <w:spacing w:after="0" w:line="240" w:lineRule="auto"/>
        <w:ind w:right="-2" w:firstLine="708"/>
        <w:contextualSpacing/>
        <w:jc w:val="both"/>
        <w:rPr>
          <w:rFonts w:cstheme="minorHAnsi"/>
          <w:color w:val="FF0000"/>
          <w:sz w:val="24"/>
          <w:szCs w:val="24"/>
        </w:rPr>
      </w:pPr>
      <w:r w:rsidRPr="00F24406">
        <w:rPr>
          <w:rFonts w:cstheme="minorHAnsi"/>
          <w:sz w:val="24"/>
          <w:szCs w:val="24"/>
        </w:rPr>
        <w:t>Abordamos la crisis que a partir de los años setenta del siglo XX</w:t>
      </w:r>
      <w:r w:rsidRPr="00F24406">
        <w:rPr>
          <w:rStyle w:val="Refdenotaalpie"/>
          <w:rFonts w:cstheme="minorHAnsi"/>
          <w:sz w:val="24"/>
          <w:szCs w:val="24"/>
        </w:rPr>
        <w:footnoteReference w:id="2"/>
      </w:r>
      <w:r w:rsidRPr="00F24406">
        <w:rPr>
          <w:rFonts w:cstheme="minorHAnsi"/>
          <w:sz w:val="24"/>
          <w:szCs w:val="24"/>
        </w:rPr>
        <w:t xml:space="preserve">  afectó a gran parte de las ciencias humanas que durante la mayor parte del siglo habían sustentado una confianza radical en la existencia de un “objeto sociológico”. Decimos “crisis” no en el sentido de falta de productividad, sino todo lo contrario, en el sentido </w:t>
      </w:r>
      <w:proofErr w:type="spellStart"/>
      <w:r w:rsidRPr="00F24406">
        <w:rPr>
          <w:rFonts w:cstheme="minorHAnsi"/>
          <w:sz w:val="24"/>
          <w:szCs w:val="24"/>
        </w:rPr>
        <w:t>kuhniano</w:t>
      </w:r>
      <w:proofErr w:type="spellEnd"/>
      <w:r w:rsidRPr="00F24406">
        <w:rPr>
          <w:rFonts w:cstheme="minorHAnsi"/>
          <w:sz w:val="24"/>
          <w:szCs w:val="24"/>
        </w:rPr>
        <w:t xml:space="preserve"> de “proclividad a probarlo todo”. Incluimos dentro de esta proliferación a la teoría del deseo, el posestructuralismo y la teoría biopolítica, el posmodernismo, la biopolítica,</w:t>
      </w:r>
      <w:r w:rsidRPr="00F24406">
        <w:rPr>
          <w:rFonts w:cstheme="minorHAnsi"/>
          <w:color w:val="FF0000"/>
          <w:sz w:val="24"/>
          <w:szCs w:val="24"/>
        </w:rPr>
        <w:t xml:space="preserve"> </w:t>
      </w:r>
      <w:r w:rsidRPr="00F24406">
        <w:rPr>
          <w:rFonts w:cstheme="minorHAnsi"/>
          <w:color w:val="000000" w:themeColor="text1"/>
          <w:sz w:val="24"/>
          <w:szCs w:val="24"/>
        </w:rPr>
        <w:t xml:space="preserve">la teoría </w:t>
      </w:r>
      <w:proofErr w:type="spellStart"/>
      <w:r w:rsidRPr="00F24406">
        <w:rPr>
          <w:rFonts w:cstheme="minorHAnsi"/>
          <w:i/>
          <w:iCs/>
          <w:color w:val="000000" w:themeColor="text1"/>
          <w:sz w:val="24"/>
          <w:szCs w:val="24"/>
        </w:rPr>
        <w:t>queer</w:t>
      </w:r>
      <w:proofErr w:type="spellEnd"/>
      <w:r w:rsidRPr="00F24406">
        <w:rPr>
          <w:rStyle w:val="Refdenotaalpie"/>
          <w:rFonts w:cstheme="minorHAnsi"/>
          <w:i/>
          <w:iCs/>
          <w:color w:val="000000" w:themeColor="text1"/>
          <w:sz w:val="24"/>
          <w:szCs w:val="24"/>
        </w:rPr>
        <w:footnoteReference w:id="3"/>
      </w:r>
      <w:r w:rsidRPr="00F24406">
        <w:rPr>
          <w:rFonts w:cstheme="minorHAnsi"/>
          <w:color w:val="000000" w:themeColor="text1"/>
          <w:sz w:val="24"/>
          <w:szCs w:val="24"/>
        </w:rPr>
        <w:t xml:space="preserve"> y el poscolonialismo</w:t>
      </w:r>
      <w:r w:rsidRPr="00F24406">
        <w:rPr>
          <w:rStyle w:val="Refdenotaalpie"/>
          <w:rFonts w:cstheme="minorHAnsi"/>
          <w:color w:val="000000" w:themeColor="text1"/>
          <w:sz w:val="24"/>
          <w:szCs w:val="24"/>
        </w:rPr>
        <w:footnoteReference w:id="4"/>
      </w:r>
      <w:r w:rsidRPr="00F24406">
        <w:rPr>
          <w:rFonts w:cstheme="minorHAnsi"/>
          <w:color w:val="000000" w:themeColor="text1"/>
          <w:sz w:val="24"/>
          <w:szCs w:val="24"/>
        </w:rPr>
        <w:t>. Con excepción de la teoría del reconocimiento de Honneth y Fraser,</w:t>
      </w:r>
      <w:r w:rsidRPr="00F24406">
        <w:rPr>
          <w:rFonts w:cstheme="minorHAnsi"/>
          <w:sz w:val="24"/>
          <w:szCs w:val="24"/>
        </w:rPr>
        <w:t xml:space="preserve"> excluimos, por haberse </w:t>
      </w:r>
      <w:r w:rsidRPr="00F24406">
        <w:rPr>
          <w:rFonts w:cstheme="minorHAnsi"/>
          <w:sz w:val="24"/>
          <w:szCs w:val="24"/>
        </w:rPr>
        <w:lastRenderedPageBreak/>
        <w:t>tratado en las teorías anteriores, diferentes pensamientos “holísticos”</w:t>
      </w:r>
      <w:r w:rsidRPr="00F24406">
        <w:rPr>
          <w:rStyle w:val="Refdenotaalpie"/>
          <w:rFonts w:cstheme="minorHAnsi"/>
          <w:sz w:val="24"/>
          <w:szCs w:val="24"/>
        </w:rPr>
        <w:footnoteReference w:id="5"/>
      </w:r>
      <w:r w:rsidRPr="00F24406">
        <w:rPr>
          <w:rFonts w:cstheme="minorHAnsi"/>
          <w:sz w:val="24"/>
          <w:szCs w:val="24"/>
        </w:rPr>
        <w:t xml:space="preserve"> que desde los años ochenta del siglo XX intentaron seguir pensando o volver a pensar a la sociedad como un todo recurriendo a diversas síntesis teóricas y a</w:t>
      </w:r>
      <w:r w:rsidRPr="00F24406">
        <w:rPr>
          <w:rFonts w:cstheme="minorHAnsi"/>
          <w:color w:val="FF0000"/>
          <w:sz w:val="24"/>
          <w:szCs w:val="24"/>
        </w:rPr>
        <w:t xml:space="preserve"> </w:t>
      </w:r>
      <w:r w:rsidRPr="00F24406">
        <w:rPr>
          <w:rFonts w:cstheme="minorHAnsi"/>
          <w:sz w:val="24"/>
          <w:szCs w:val="24"/>
        </w:rPr>
        <w:t xml:space="preserve">un pensamiento transdisciplinar que no estuvo presente en los clásicos. Nos referimos entre estas corrientes a la teoría de la acción comunicativa de Habermas, el posmarxismo de Jameson y </w:t>
      </w:r>
      <w:proofErr w:type="spellStart"/>
      <w:r w:rsidRPr="00F24406">
        <w:rPr>
          <w:rFonts w:cstheme="minorHAnsi"/>
          <w:sz w:val="24"/>
          <w:szCs w:val="24"/>
        </w:rPr>
        <w:t>Zizek</w:t>
      </w:r>
      <w:proofErr w:type="spellEnd"/>
      <w:r w:rsidRPr="00F24406">
        <w:rPr>
          <w:rFonts w:cstheme="minorHAnsi"/>
          <w:sz w:val="24"/>
          <w:szCs w:val="24"/>
        </w:rPr>
        <w:t xml:space="preserve">, la </w:t>
      </w:r>
      <w:proofErr w:type="spellStart"/>
      <w:r w:rsidRPr="00F24406">
        <w:rPr>
          <w:rFonts w:cstheme="minorHAnsi"/>
          <w:sz w:val="24"/>
          <w:szCs w:val="24"/>
        </w:rPr>
        <w:t>sociocibernética</w:t>
      </w:r>
      <w:proofErr w:type="spellEnd"/>
      <w:r w:rsidRPr="00F24406">
        <w:rPr>
          <w:rFonts w:cstheme="minorHAnsi"/>
          <w:sz w:val="24"/>
          <w:szCs w:val="24"/>
        </w:rPr>
        <w:t xml:space="preserve"> de Luhmann y la teoría de la estructuración de Giddens.</w:t>
      </w:r>
      <w:r w:rsidRPr="00F24406">
        <w:rPr>
          <w:rFonts w:cstheme="minorHAnsi"/>
          <w:color w:val="FF0000"/>
          <w:sz w:val="24"/>
          <w:szCs w:val="24"/>
        </w:rPr>
        <w:t xml:space="preserve"> </w:t>
      </w:r>
    </w:p>
    <w:p w:rsidR="0031414D" w:rsidRPr="00F24406" w:rsidRDefault="0031414D" w:rsidP="00F24406">
      <w:pPr>
        <w:spacing w:after="0" w:line="240" w:lineRule="auto"/>
        <w:ind w:right="-2" w:firstLine="708"/>
        <w:contextualSpacing/>
        <w:jc w:val="both"/>
        <w:rPr>
          <w:rFonts w:cstheme="minorHAnsi"/>
          <w:sz w:val="24"/>
          <w:szCs w:val="24"/>
        </w:rPr>
      </w:pPr>
      <w:r w:rsidRPr="00F24406">
        <w:rPr>
          <w:rFonts w:cstheme="minorHAnsi"/>
          <w:sz w:val="24"/>
          <w:szCs w:val="24"/>
        </w:rPr>
        <w:t xml:space="preserve">Estos pensamientos abordan la ingente heterogeneidad cultural del mundo contemporáneo. La palabra “deconstrucción”, que Derrida toma de </w:t>
      </w:r>
      <w:r w:rsidRPr="00F24406">
        <w:rPr>
          <w:rFonts w:cstheme="minorHAnsi"/>
          <w:i/>
          <w:iCs/>
          <w:sz w:val="24"/>
          <w:szCs w:val="24"/>
        </w:rPr>
        <w:t xml:space="preserve">El ser y el tiempo </w:t>
      </w:r>
      <w:r w:rsidRPr="00F24406">
        <w:rPr>
          <w:rFonts w:cstheme="minorHAnsi"/>
          <w:sz w:val="24"/>
          <w:szCs w:val="24"/>
        </w:rPr>
        <w:t>de Heidegger (el término original fue “</w:t>
      </w:r>
      <w:proofErr w:type="spellStart"/>
      <w:r w:rsidRPr="00F24406">
        <w:rPr>
          <w:rFonts w:cstheme="minorHAnsi"/>
          <w:sz w:val="24"/>
          <w:szCs w:val="24"/>
        </w:rPr>
        <w:t>destruktiori</w:t>
      </w:r>
      <w:proofErr w:type="spellEnd"/>
      <w:r w:rsidRPr="00F24406">
        <w:rPr>
          <w:rFonts w:cstheme="minorHAnsi"/>
          <w:sz w:val="24"/>
          <w:szCs w:val="24"/>
        </w:rPr>
        <w:t>”), se orientó a cuestionar la existencia de una verdad y una objetividad y a sustituirlas por dispositivos de verdad transitorios, tácticos, políticos, sirviendo de contenido y de activismo a un nuevo campo de estudios que desplazó la crítica literaria hacia los Estudios Culturales. En la escena norteamericana</w:t>
      </w:r>
      <w:r w:rsidR="00DD67E7" w:rsidRPr="00F24406">
        <w:rPr>
          <w:rFonts w:cstheme="minorHAnsi"/>
          <w:sz w:val="24"/>
          <w:szCs w:val="24"/>
        </w:rPr>
        <w:t>,</w:t>
      </w:r>
      <w:r w:rsidRPr="00F24406">
        <w:rPr>
          <w:rFonts w:cstheme="minorHAnsi"/>
          <w:sz w:val="24"/>
          <w:szCs w:val="24"/>
        </w:rPr>
        <w:t xml:space="preserve"> esta perspectiva se tradujo en la lectura que ve a la “objetividad” como la "subjetividad del varón blanco anglosajón protestante" y desató una serie de guerras culturales que luchan por la afirmación de todas las identidades sometidas: mujeres, afroamericanos, chicanos, asiático-americanos, nativos americanos, </w:t>
      </w:r>
      <w:proofErr w:type="spellStart"/>
      <w:r w:rsidRPr="00F24406">
        <w:rPr>
          <w:rFonts w:cstheme="minorHAnsi"/>
          <w:i/>
          <w:iCs/>
          <w:sz w:val="24"/>
          <w:szCs w:val="24"/>
        </w:rPr>
        <w:t>queers</w:t>
      </w:r>
      <w:proofErr w:type="spellEnd"/>
      <w:r w:rsidRPr="00F24406">
        <w:rPr>
          <w:rFonts w:cstheme="minorHAnsi"/>
          <w:sz w:val="24"/>
          <w:szCs w:val="24"/>
        </w:rPr>
        <w:t>, raperos, cibernautas, freaks.  En Europa</w:t>
      </w:r>
      <w:r w:rsidR="00DD67E7" w:rsidRPr="00F24406">
        <w:rPr>
          <w:rFonts w:cstheme="minorHAnsi"/>
          <w:sz w:val="24"/>
          <w:szCs w:val="24"/>
        </w:rPr>
        <w:t>,</w:t>
      </w:r>
      <w:r w:rsidRPr="00F24406">
        <w:rPr>
          <w:rFonts w:cstheme="minorHAnsi"/>
          <w:sz w:val="24"/>
          <w:szCs w:val="24"/>
        </w:rPr>
        <w:t xml:space="preserve"> se impone la nostalgia por formas de vida anteriores y la desconfianza en el progreso y en la razón. En Francia, </w:t>
      </w:r>
      <w:proofErr w:type="spellStart"/>
      <w:r w:rsidRPr="00F24406">
        <w:rPr>
          <w:rFonts w:cstheme="minorHAnsi"/>
          <w:sz w:val="24"/>
          <w:szCs w:val="24"/>
        </w:rPr>
        <w:t>Callinicos</w:t>
      </w:r>
      <w:proofErr w:type="spellEnd"/>
      <w:r w:rsidRPr="00F24406">
        <w:rPr>
          <w:rFonts w:cstheme="minorHAnsi"/>
          <w:sz w:val="24"/>
          <w:szCs w:val="24"/>
        </w:rPr>
        <w:t xml:space="preserve"> señala que "</w:t>
      </w:r>
      <w:r w:rsidRPr="00F24406">
        <w:rPr>
          <w:rFonts w:cstheme="minorHAnsi"/>
          <w:i/>
          <w:sz w:val="24"/>
          <w:szCs w:val="24"/>
        </w:rPr>
        <w:t>la odisea política de la generación de 1968 es crucial para entender la difundida aceptación de la idea de una época posmoderna en los años ochenta. Es ésta la década en que (...) habían perdido toda esperanza en el triunfo de una revolución socialista y a menudo habían dejado de creer incluso que una revolución semejante fuese deseable."</w:t>
      </w:r>
      <w:r w:rsidRPr="00F24406">
        <w:rPr>
          <w:rFonts w:cstheme="minorHAnsi"/>
          <w:sz w:val="24"/>
          <w:szCs w:val="24"/>
        </w:rPr>
        <w:t xml:space="preserve"> (</w:t>
      </w:r>
      <w:proofErr w:type="spellStart"/>
      <w:r w:rsidRPr="00F24406">
        <w:rPr>
          <w:rFonts w:cstheme="minorHAnsi"/>
          <w:sz w:val="24"/>
          <w:szCs w:val="24"/>
        </w:rPr>
        <w:t>Callinicos</w:t>
      </w:r>
      <w:proofErr w:type="spellEnd"/>
      <w:r w:rsidRPr="00F24406">
        <w:rPr>
          <w:rFonts w:cstheme="minorHAnsi"/>
          <w:sz w:val="24"/>
          <w:szCs w:val="24"/>
        </w:rPr>
        <w:t xml:space="preserve">, 1998: 316).  Es también una crisis de los </w:t>
      </w:r>
      <w:proofErr w:type="spellStart"/>
      <w:r w:rsidRPr="00F24406">
        <w:rPr>
          <w:rFonts w:cstheme="minorHAnsi"/>
          <w:sz w:val="24"/>
          <w:szCs w:val="24"/>
        </w:rPr>
        <w:t>metarrelatos</w:t>
      </w:r>
      <w:proofErr w:type="spellEnd"/>
      <w:r w:rsidRPr="00F24406">
        <w:rPr>
          <w:rFonts w:cstheme="minorHAnsi"/>
          <w:sz w:val="24"/>
          <w:szCs w:val="24"/>
        </w:rPr>
        <w:t xml:space="preserve"> y las “disciplinas” autónomas, cuyos nuevos caminos teóricos a tener en cuenta son aquellos que emergen de los estudios literarios y se extienden al campo de los estudios culturales. En forma paralela se da una –menor- contaminación de las teorías holísticas, que echan mano de todas las síntesis teóricas pensables a efectos de resolver los nuevos problemas de la teoría social. Si hay algo que se torna presente en dicha crisis es el aumento de problemas a afrontar y la incomodidad -que es a su vez una oportunidad- de no tener ninguna certeza última sobre la historia, la sociedad o los fundamentos de ambas. </w:t>
      </w:r>
    </w:p>
    <w:p w:rsidR="00DD67E7" w:rsidRPr="00F24406" w:rsidRDefault="0031414D" w:rsidP="00F24406">
      <w:pPr>
        <w:spacing w:after="0" w:line="240" w:lineRule="auto"/>
        <w:ind w:right="-2" w:firstLine="708"/>
        <w:contextualSpacing/>
        <w:jc w:val="both"/>
        <w:rPr>
          <w:rFonts w:cstheme="minorHAnsi"/>
          <w:sz w:val="24"/>
          <w:szCs w:val="24"/>
        </w:rPr>
      </w:pPr>
      <w:r w:rsidRPr="00F24406">
        <w:rPr>
          <w:rFonts w:cstheme="minorHAnsi"/>
          <w:sz w:val="24"/>
          <w:szCs w:val="24"/>
        </w:rPr>
        <w:t>Un último tema y problema sociológico</w:t>
      </w:r>
      <w:r w:rsidR="00DD67E7" w:rsidRPr="00F24406">
        <w:rPr>
          <w:rFonts w:cstheme="minorHAnsi"/>
          <w:sz w:val="24"/>
          <w:szCs w:val="24"/>
        </w:rPr>
        <w:t xml:space="preserve"> es</w:t>
      </w:r>
      <w:r w:rsidRPr="00F24406">
        <w:rPr>
          <w:rFonts w:cstheme="minorHAnsi"/>
          <w:sz w:val="24"/>
          <w:szCs w:val="24"/>
        </w:rPr>
        <w:t xml:space="preserve"> la acción humana</w:t>
      </w:r>
      <w:r w:rsidR="00DD67E7" w:rsidRPr="00F24406">
        <w:rPr>
          <w:rFonts w:cstheme="minorHAnsi"/>
          <w:sz w:val="24"/>
          <w:szCs w:val="24"/>
        </w:rPr>
        <w:t>.</w:t>
      </w:r>
      <w:r w:rsidRPr="00F24406">
        <w:rPr>
          <w:rFonts w:cstheme="minorHAnsi"/>
          <w:sz w:val="24"/>
          <w:szCs w:val="24"/>
        </w:rPr>
        <w:t xml:space="preserve"> </w:t>
      </w:r>
      <w:r w:rsidR="00DD67E7" w:rsidRPr="00F24406">
        <w:rPr>
          <w:rFonts w:cstheme="minorHAnsi"/>
          <w:sz w:val="24"/>
          <w:szCs w:val="24"/>
        </w:rPr>
        <w:t>C</w:t>
      </w:r>
      <w:r w:rsidRPr="00F24406">
        <w:rPr>
          <w:rFonts w:cstheme="minorHAnsi"/>
          <w:sz w:val="24"/>
          <w:szCs w:val="24"/>
        </w:rPr>
        <w:t>onforma una discusión clásica y contemporánea enmarcada en la perspectiva del sistema (léase “sistema de acción social” para el funcionalismo) o asumida sin espíritu crítico en el humanismo liberal. En la sociología anterior al período abarcado, esta oposición fue asumida</w:t>
      </w:r>
      <w:r w:rsidR="00DD67E7" w:rsidRPr="00F24406">
        <w:rPr>
          <w:rFonts w:cstheme="minorHAnsi"/>
          <w:sz w:val="24"/>
          <w:szCs w:val="24"/>
        </w:rPr>
        <w:t>,</w:t>
      </w:r>
      <w:r w:rsidRPr="00F24406">
        <w:rPr>
          <w:rFonts w:cstheme="minorHAnsi"/>
          <w:sz w:val="24"/>
          <w:szCs w:val="24"/>
        </w:rPr>
        <w:t xml:space="preserve"> hasta cierto punto</w:t>
      </w:r>
      <w:r w:rsidR="00DD67E7" w:rsidRPr="00F24406">
        <w:rPr>
          <w:rFonts w:cstheme="minorHAnsi"/>
          <w:sz w:val="24"/>
          <w:szCs w:val="24"/>
        </w:rPr>
        <w:t>,</w:t>
      </w:r>
      <w:r w:rsidRPr="00F24406">
        <w:rPr>
          <w:rFonts w:cstheme="minorHAnsi"/>
          <w:sz w:val="24"/>
          <w:szCs w:val="24"/>
        </w:rPr>
        <w:t xml:space="preserve"> por los estructuralismos</w:t>
      </w:r>
      <w:r w:rsidR="00DD67E7" w:rsidRPr="00F24406">
        <w:rPr>
          <w:rFonts w:cstheme="minorHAnsi"/>
          <w:sz w:val="24"/>
          <w:szCs w:val="24"/>
        </w:rPr>
        <w:t>:</w:t>
      </w:r>
      <w:r w:rsidRPr="00F24406">
        <w:rPr>
          <w:rFonts w:cstheme="minorHAnsi"/>
          <w:sz w:val="24"/>
          <w:szCs w:val="24"/>
        </w:rPr>
        <w:t xml:space="preserve"> por un lado</w:t>
      </w:r>
      <w:r w:rsidR="00DD67E7" w:rsidRPr="00F24406">
        <w:rPr>
          <w:rFonts w:cstheme="minorHAnsi"/>
          <w:sz w:val="24"/>
          <w:szCs w:val="24"/>
        </w:rPr>
        <w:t>,</w:t>
      </w:r>
      <w:r w:rsidRPr="00F24406">
        <w:rPr>
          <w:rFonts w:cstheme="minorHAnsi"/>
          <w:sz w:val="24"/>
          <w:szCs w:val="24"/>
        </w:rPr>
        <w:t xml:space="preserve"> </w:t>
      </w:r>
      <w:r w:rsidR="00DD67E7" w:rsidRPr="00F24406">
        <w:rPr>
          <w:rFonts w:cstheme="minorHAnsi"/>
          <w:sz w:val="24"/>
          <w:szCs w:val="24"/>
        </w:rPr>
        <w:t xml:space="preserve">con el </w:t>
      </w:r>
      <w:r w:rsidRPr="00F24406">
        <w:rPr>
          <w:rFonts w:cstheme="minorHAnsi"/>
          <w:sz w:val="24"/>
          <w:szCs w:val="24"/>
        </w:rPr>
        <w:t>concepto de “estructura social” y</w:t>
      </w:r>
      <w:r w:rsidR="00DD67E7" w:rsidRPr="00F24406">
        <w:rPr>
          <w:rFonts w:cstheme="minorHAnsi"/>
          <w:sz w:val="24"/>
          <w:szCs w:val="24"/>
        </w:rPr>
        <w:t>,</w:t>
      </w:r>
      <w:r w:rsidRPr="00F24406">
        <w:rPr>
          <w:rFonts w:cstheme="minorHAnsi"/>
          <w:sz w:val="24"/>
          <w:szCs w:val="24"/>
        </w:rPr>
        <w:t xml:space="preserve"> por</w:t>
      </w:r>
      <w:r w:rsidR="00DD67E7" w:rsidRPr="00F24406">
        <w:rPr>
          <w:rFonts w:cstheme="minorHAnsi"/>
          <w:sz w:val="24"/>
          <w:szCs w:val="24"/>
        </w:rPr>
        <w:t xml:space="preserve"> otro,</w:t>
      </w:r>
      <w:r w:rsidRPr="00F24406">
        <w:rPr>
          <w:rFonts w:cstheme="minorHAnsi"/>
          <w:sz w:val="24"/>
          <w:szCs w:val="24"/>
        </w:rPr>
        <w:t xml:space="preserve"> </w:t>
      </w:r>
      <w:r w:rsidR="00DD67E7" w:rsidRPr="00F24406">
        <w:rPr>
          <w:rFonts w:cstheme="minorHAnsi"/>
          <w:sz w:val="24"/>
          <w:szCs w:val="24"/>
        </w:rPr>
        <w:t xml:space="preserve">con </w:t>
      </w:r>
      <w:r w:rsidRPr="00F24406">
        <w:rPr>
          <w:rFonts w:cstheme="minorHAnsi"/>
          <w:sz w:val="24"/>
          <w:szCs w:val="24"/>
        </w:rPr>
        <w:t xml:space="preserve">la fenomenología social, el </w:t>
      </w:r>
      <w:proofErr w:type="spellStart"/>
      <w:r w:rsidRPr="00F24406">
        <w:rPr>
          <w:rFonts w:cstheme="minorHAnsi"/>
          <w:sz w:val="24"/>
          <w:szCs w:val="24"/>
        </w:rPr>
        <w:t>interaccionalismo</w:t>
      </w:r>
      <w:proofErr w:type="spellEnd"/>
      <w:r w:rsidRPr="00F24406">
        <w:rPr>
          <w:rFonts w:cstheme="minorHAnsi"/>
          <w:sz w:val="24"/>
          <w:szCs w:val="24"/>
        </w:rPr>
        <w:t xml:space="preserve"> simbólico y la etnometodología con los conceptos de “ajuste práctico”, “interacción simbólica” e “</w:t>
      </w:r>
      <w:proofErr w:type="spellStart"/>
      <w:r w:rsidRPr="00F24406">
        <w:rPr>
          <w:rFonts w:cstheme="minorHAnsi"/>
          <w:sz w:val="24"/>
          <w:szCs w:val="24"/>
        </w:rPr>
        <w:t>indexicalidad</w:t>
      </w:r>
      <w:proofErr w:type="spellEnd"/>
      <w:r w:rsidRPr="00F24406">
        <w:rPr>
          <w:rFonts w:cstheme="minorHAnsi"/>
          <w:sz w:val="24"/>
          <w:szCs w:val="24"/>
        </w:rPr>
        <w:t>”</w:t>
      </w:r>
      <w:r w:rsidR="00DD67E7" w:rsidRPr="00F24406">
        <w:rPr>
          <w:rFonts w:cstheme="minorHAnsi"/>
          <w:sz w:val="24"/>
          <w:szCs w:val="24"/>
        </w:rPr>
        <w:t>,</w:t>
      </w:r>
      <w:r w:rsidRPr="00F24406">
        <w:rPr>
          <w:rFonts w:cstheme="minorHAnsi"/>
          <w:sz w:val="24"/>
          <w:szCs w:val="24"/>
        </w:rPr>
        <w:t xml:space="preserve"> respectivamente. </w:t>
      </w:r>
    </w:p>
    <w:p w:rsidR="00F24FDF" w:rsidRPr="00F24406" w:rsidRDefault="00DD67E7" w:rsidP="00F24406">
      <w:pPr>
        <w:spacing w:after="0" w:line="240" w:lineRule="auto"/>
        <w:ind w:right="-2" w:firstLine="708"/>
        <w:contextualSpacing/>
        <w:jc w:val="both"/>
        <w:rPr>
          <w:rFonts w:cstheme="minorHAnsi"/>
          <w:sz w:val="24"/>
          <w:szCs w:val="24"/>
        </w:rPr>
      </w:pPr>
      <w:r w:rsidRPr="00F24406">
        <w:rPr>
          <w:rFonts w:cstheme="minorHAnsi"/>
          <w:sz w:val="24"/>
          <w:szCs w:val="24"/>
        </w:rPr>
        <w:t>La</w:t>
      </w:r>
      <w:r w:rsidR="0031414D" w:rsidRPr="00F24406">
        <w:rPr>
          <w:rFonts w:cstheme="minorHAnsi"/>
          <w:sz w:val="24"/>
          <w:szCs w:val="24"/>
        </w:rPr>
        <w:t xml:space="preserve"> intención de este programa </w:t>
      </w:r>
      <w:r w:rsidRPr="00F24406">
        <w:rPr>
          <w:rFonts w:cstheme="minorHAnsi"/>
          <w:sz w:val="24"/>
          <w:szCs w:val="24"/>
        </w:rPr>
        <w:t xml:space="preserve">es </w:t>
      </w:r>
      <w:r w:rsidR="0031414D" w:rsidRPr="00F24406">
        <w:rPr>
          <w:rFonts w:cstheme="minorHAnsi"/>
          <w:sz w:val="24"/>
          <w:szCs w:val="24"/>
        </w:rPr>
        <w:t>transitar a través de los autores seleccionados también en referencia a sus teorías de la acción como elemento central en la búsqueda de una reflexión que permita recuperar no sólo el sentido crítico sino las racionalidades de la acción individual y colectiva.</w:t>
      </w:r>
    </w:p>
    <w:p w:rsidR="00F24406" w:rsidRPr="00F24406" w:rsidRDefault="00F24406" w:rsidP="00A138FC">
      <w:pPr>
        <w:spacing w:after="0" w:line="240" w:lineRule="auto"/>
        <w:ind w:right="-82"/>
        <w:contextualSpacing/>
        <w:jc w:val="both"/>
        <w:rPr>
          <w:rFonts w:cstheme="minorHAnsi"/>
          <w:sz w:val="24"/>
          <w:szCs w:val="24"/>
        </w:rPr>
      </w:pPr>
    </w:p>
    <w:p w:rsidR="0031414D" w:rsidRPr="00F24406" w:rsidRDefault="0031414D" w:rsidP="00F24406">
      <w:pPr>
        <w:spacing w:after="0" w:line="240" w:lineRule="auto"/>
        <w:contextualSpacing/>
        <w:rPr>
          <w:rFonts w:cstheme="minorHAnsi"/>
          <w:b/>
          <w:sz w:val="24"/>
          <w:szCs w:val="24"/>
        </w:rPr>
      </w:pPr>
      <w:r w:rsidRPr="00F24406">
        <w:rPr>
          <w:rFonts w:cstheme="minorHAnsi"/>
          <w:b/>
          <w:sz w:val="24"/>
          <w:szCs w:val="24"/>
        </w:rPr>
        <w:t>Referencias en la Introducción (no son bibliografía del curso)</w:t>
      </w:r>
    </w:p>
    <w:p w:rsidR="0031414D" w:rsidRPr="00F24406" w:rsidRDefault="0031414D" w:rsidP="00F24406">
      <w:pPr>
        <w:pStyle w:val="Prrafodelista"/>
        <w:numPr>
          <w:ilvl w:val="0"/>
          <w:numId w:val="5"/>
        </w:numPr>
        <w:spacing w:after="0" w:line="240" w:lineRule="auto"/>
        <w:ind w:left="567" w:hanging="283"/>
        <w:jc w:val="both"/>
        <w:rPr>
          <w:rFonts w:cstheme="minorHAnsi"/>
          <w:sz w:val="24"/>
          <w:szCs w:val="24"/>
          <w:lang w:val="it-IT"/>
        </w:rPr>
      </w:pPr>
      <w:r w:rsidRPr="00F24406">
        <w:rPr>
          <w:rFonts w:cstheme="minorHAnsi"/>
          <w:sz w:val="24"/>
          <w:szCs w:val="24"/>
          <w:lang w:val="it-IT"/>
        </w:rPr>
        <w:t>Bardella, Claudio (2001): “Queer Spirituality”. Social Compass, vol. 48(1): 117-138.</w:t>
      </w:r>
    </w:p>
    <w:p w:rsidR="0031414D" w:rsidRPr="00F24406" w:rsidRDefault="0031414D" w:rsidP="00F24406">
      <w:pPr>
        <w:pStyle w:val="Prrafodelista"/>
        <w:numPr>
          <w:ilvl w:val="0"/>
          <w:numId w:val="5"/>
        </w:numPr>
        <w:spacing w:after="0" w:line="240" w:lineRule="auto"/>
        <w:ind w:left="567" w:hanging="283"/>
        <w:jc w:val="both"/>
        <w:rPr>
          <w:rFonts w:cstheme="minorHAnsi"/>
          <w:sz w:val="24"/>
          <w:szCs w:val="24"/>
        </w:rPr>
      </w:pPr>
      <w:proofErr w:type="spellStart"/>
      <w:r w:rsidRPr="00F24406">
        <w:rPr>
          <w:rFonts w:cstheme="minorHAnsi"/>
          <w:sz w:val="24"/>
          <w:szCs w:val="24"/>
        </w:rPr>
        <w:t>Callinicos</w:t>
      </w:r>
      <w:proofErr w:type="spellEnd"/>
      <w:r w:rsidRPr="00F24406">
        <w:rPr>
          <w:rFonts w:cstheme="minorHAnsi"/>
          <w:sz w:val="24"/>
          <w:szCs w:val="24"/>
        </w:rPr>
        <w:t xml:space="preserve">, Alex (1991/8): CONTRA EL POSMODERNISMO. El Áncora Editores, Bogotá.   </w:t>
      </w:r>
    </w:p>
    <w:p w:rsidR="0031414D" w:rsidRPr="00F24406" w:rsidRDefault="0031414D" w:rsidP="00F24406">
      <w:pPr>
        <w:pStyle w:val="Prrafodelista"/>
        <w:numPr>
          <w:ilvl w:val="0"/>
          <w:numId w:val="5"/>
        </w:numPr>
        <w:spacing w:after="0" w:line="240" w:lineRule="auto"/>
        <w:ind w:left="567" w:hanging="283"/>
        <w:jc w:val="both"/>
        <w:rPr>
          <w:rFonts w:cstheme="minorHAnsi"/>
          <w:sz w:val="24"/>
          <w:szCs w:val="24"/>
        </w:rPr>
      </w:pPr>
      <w:proofErr w:type="spellStart"/>
      <w:r w:rsidRPr="00F24406">
        <w:rPr>
          <w:rFonts w:cstheme="minorHAnsi"/>
          <w:sz w:val="24"/>
          <w:szCs w:val="24"/>
          <w:lang w:val="en-US"/>
        </w:rPr>
        <w:lastRenderedPageBreak/>
        <w:t>Cusset</w:t>
      </w:r>
      <w:proofErr w:type="spellEnd"/>
      <w:r w:rsidRPr="00F24406">
        <w:rPr>
          <w:rFonts w:cstheme="minorHAnsi"/>
          <w:sz w:val="24"/>
          <w:szCs w:val="24"/>
          <w:lang w:val="en-US"/>
        </w:rPr>
        <w:t xml:space="preserve">, François (2005): FRENCH THEORY. FOUCAULT, DERRIDA, DELEUZE &amp; CÍA. </w:t>
      </w:r>
      <w:r w:rsidRPr="00F24406">
        <w:rPr>
          <w:rFonts w:cstheme="minorHAnsi"/>
          <w:sz w:val="24"/>
          <w:szCs w:val="24"/>
        </w:rPr>
        <w:t xml:space="preserve">Y LAS MUTACIONES DE LA VIDA INTELECTUAL EN ESTADOS UNIDOS. Editorial </w:t>
      </w:r>
      <w:proofErr w:type="spellStart"/>
      <w:r w:rsidRPr="00F24406">
        <w:rPr>
          <w:rFonts w:cstheme="minorHAnsi"/>
          <w:sz w:val="24"/>
          <w:szCs w:val="24"/>
        </w:rPr>
        <w:t>Melusina</w:t>
      </w:r>
      <w:proofErr w:type="spellEnd"/>
      <w:r w:rsidRPr="00F24406">
        <w:rPr>
          <w:rFonts w:cstheme="minorHAnsi"/>
          <w:sz w:val="24"/>
          <w:szCs w:val="24"/>
        </w:rPr>
        <w:t>, Barcelona.</w:t>
      </w:r>
    </w:p>
    <w:p w:rsidR="00F24FDF" w:rsidRPr="00F24406" w:rsidRDefault="0031414D" w:rsidP="00F24406">
      <w:pPr>
        <w:pStyle w:val="Prrafodelista"/>
        <w:numPr>
          <w:ilvl w:val="0"/>
          <w:numId w:val="5"/>
        </w:numPr>
        <w:spacing w:after="0" w:line="240" w:lineRule="auto"/>
        <w:ind w:left="567" w:hanging="283"/>
        <w:jc w:val="both"/>
        <w:rPr>
          <w:rFonts w:cstheme="minorHAnsi"/>
          <w:sz w:val="24"/>
          <w:szCs w:val="24"/>
        </w:rPr>
      </w:pPr>
      <w:proofErr w:type="spellStart"/>
      <w:r w:rsidRPr="00F24406">
        <w:rPr>
          <w:rFonts w:cstheme="minorHAnsi"/>
          <w:sz w:val="24"/>
          <w:szCs w:val="24"/>
        </w:rPr>
        <w:t>Laclau</w:t>
      </w:r>
      <w:proofErr w:type="spellEnd"/>
      <w:r w:rsidRPr="00F24406">
        <w:rPr>
          <w:rFonts w:cstheme="minorHAnsi"/>
          <w:sz w:val="24"/>
          <w:szCs w:val="24"/>
        </w:rPr>
        <w:t xml:space="preserve">, Ernesto y </w:t>
      </w:r>
      <w:proofErr w:type="spellStart"/>
      <w:r w:rsidRPr="00F24406">
        <w:rPr>
          <w:rFonts w:cstheme="minorHAnsi"/>
          <w:sz w:val="24"/>
          <w:szCs w:val="24"/>
        </w:rPr>
        <w:t>Mouffe</w:t>
      </w:r>
      <w:proofErr w:type="spellEnd"/>
      <w:r w:rsidRPr="00F24406">
        <w:rPr>
          <w:rFonts w:cstheme="minorHAnsi"/>
          <w:sz w:val="24"/>
          <w:szCs w:val="24"/>
        </w:rPr>
        <w:t>, Chantal (1985/87) Hegemonía y estrategia socialista. Hacia una radicalización de la democracia. Siglo XXI editores, Madrid.</w:t>
      </w:r>
    </w:p>
    <w:p w:rsidR="00F24FDF" w:rsidRDefault="00F24FDF" w:rsidP="00F24406">
      <w:pPr>
        <w:spacing w:after="0" w:line="240" w:lineRule="auto"/>
        <w:ind w:right="-1526"/>
        <w:jc w:val="both"/>
        <w:rPr>
          <w:rFonts w:cstheme="minorHAnsi"/>
          <w:sz w:val="24"/>
          <w:szCs w:val="24"/>
        </w:rPr>
      </w:pPr>
    </w:p>
    <w:p w:rsidR="00F24406" w:rsidRPr="00F24406" w:rsidRDefault="00F24406" w:rsidP="00F24406">
      <w:pPr>
        <w:spacing w:after="0" w:line="240" w:lineRule="auto"/>
        <w:ind w:right="-1526"/>
        <w:jc w:val="both"/>
        <w:rPr>
          <w:rFonts w:cstheme="minorHAnsi"/>
          <w:sz w:val="24"/>
          <w:szCs w:val="24"/>
        </w:rPr>
      </w:pPr>
    </w:p>
    <w:p w:rsidR="0031414D" w:rsidRPr="00F24406" w:rsidRDefault="0031414D" w:rsidP="00F24406">
      <w:pPr>
        <w:pStyle w:val="Prrafodelista"/>
        <w:spacing w:after="0" w:line="240" w:lineRule="auto"/>
        <w:ind w:left="0" w:right="-1"/>
        <w:jc w:val="center"/>
        <w:rPr>
          <w:rFonts w:cstheme="minorHAnsi"/>
          <w:b/>
          <w:sz w:val="24"/>
          <w:szCs w:val="24"/>
        </w:rPr>
      </w:pPr>
      <w:r w:rsidRPr="00F24406">
        <w:rPr>
          <w:rFonts w:cstheme="minorHAnsi"/>
          <w:b/>
          <w:sz w:val="24"/>
          <w:szCs w:val="24"/>
        </w:rPr>
        <w:t>MÓDULO I. DISCUSIONES INTRODUCTORIAS. VIGENCIA DEL PENSAMIENTO SOCIOLÓGICO FUNDACIONAL</w:t>
      </w:r>
    </w:p>
    <w:p w:rsidR="00F24FDF" w:rsidRPr="00F24406" w:rsidRDefault="00F24FDF" w:rsidP="00F24406">
      <w:pPr>
        <w:pStyle w:val="Prrafodelista"/>
        <w:spacing w:after="0" w:line="240" w:lineRule="auto"/>
        <w:ind w:left="0" w:right="-1"/>
        <w:jc w:val="center"/>
        <w:rPr>
          <w:rFonts w:cstheme="minorHAnsi"/>
          <w:sz w:val="24"/>
          <w:szCs w:val="24"/>
        </w:rPr>
      </w:pPr>
    </w:p>
    <w:p w:rsidR="00F24FDF" w:rsidRPr="00F24406" w:rsidRDefault="0031414D" w:rsidP="00F24406">
      <w:pPr>
        <w:spacing w:after="0" w:line="240" w:lineRule="auto"/>
        <w:ind w:right="-2"/>
        <w:contextualSpacing/>
        <w:jc w:val="both"/>
        <w:rPr>
          <w:rFonts w:cstheme="minorHAnsi"/>
          <w:sz w:val="24"/>
          <w:szCs w:val="24"/>
        </w:rPr>
      </w:pPr>
      <w:r w:rsidRPr="00F24406">
        <w:rPr>
          <w:rFonts w:cstheme="minorHAnsi"/>
          <w:sz w:val="24"/>
          <w:szCs w:val="24"/>
        </w:rPr>
        <w:t xml:space="preserve">Discusión del desarrollo de la disciplina: el “árbol de la teoría sociológica” y sus sincretismos. Influencias desde otras disciplinas: </w:t>
      </w:r>
      <w:r w:rsidRPr="00F24406">
        <w:rPr>
          <w:rFonts w:cstheme="minorHAnsi"/>
          <w:b/>
          <w:bCs/>
          <w:sz w:val="24"/>
          <w:szCs w:val="24"/>
        </w:rPr>
        <w:t>Saussure, Freud, Lacan</w:t>
      </w:r>
      <w:r w:rsidRPr="00F24406">
        <w:rPr>
          <w:rFonts w:cstheme="minorHAnsi"/>
          <w:sz w:val="24"/>
          <w:szCs w:val="24"/>
        </w:rPr>
        <w:t xml:space="preserve">. </w:t>
      </w:r>
    </w:p>
    <w:p w:rsidR="0031414D" w:rsidRPr="00F24406" w:rsidRDefault="0031414D" w:rsidP="00F24406">
      <w:pPr>
        <w:spacing w:after="0" w:line="240" w:lineRule="auto"/>
        <w:ind w:right="-2" w:firstLine="708"/>
        <w:contextualSpacing/>
        <w:jc w:val="both"/>
        <w:rPr>
          <w:rFonts w:cstheme="minorHAnsi"/>
          <w:sz w:val="24"/>
          <w:szCs w:val="24"/>
        </w:rPr>
      </w:pPr>
      <w:r w:rsidRPr="00F24406">
        <w:rPr>
          <w:rFonts w:cstheme="minorHAnsi"/>
          <w:sz w:val="24"/>
          <w:szCs w:val="24"/>
        </w:rPr>
        <w:t xml:space="preserve">Introducción a los pensamientos desde la crisis: </w:t>
      </w:r>
      <w:r w:rsidR="00F24FDF" w:rsidRPr="00F24406">
        <w:rPr>
          <w:rFonts w:cstheme="minorHAnsi"/>
          <w:sz w:val="24"/>
          <w:szCs w:val="24"/>
        </w:rPr>
        <w:t>r</w:t>
      </w:r>
      <w:r w:rsidRPr="00F24406">
        <w:rPr>
          <w:rFonts w:cstheme="minorHAnsi"/>
          <w:sz w:val="24"/>
          <w:szCs w:val="24"/>
        </w:rPr>
        <w:t>eporte de los pensamientos holísticos contemporáneos necesarios para cada generación de estudiantes en la asignatura</w:t>
      </w:r>
      <w:r w:rsidR="00F24FDF" w:rsidRPr="00F24406">
        <w:rPr>
          <w:rFonts w:cstheme="minorHAnsi"/>
          <w:sz w:val="24"/>
          <w:szCs w:val="24"/>
        </w:rPr>
        <w:t>;</w:t>
      </w:r>
      <w:r w:rsidRPr="00F24406">
        <w:rPr>
          <w:rFonts w:cstheme="minorHAnsi"/>
          <w:sz w:val="24"/>
          <w:szCs w:val="24"/>
        </w:rPr>
        <w:t xml:space="preserve"> </w:t>
      </w:r>
      <w:r w:rsidR="00F24FDF" w:rsidRPr="00F24406">
        <w:rPr>
          <w:rFonts w:cstheme="minorHAnsi"/>
          <w:sz w:val="24"/>
          <w:szCs w:val="24"/>
        </w:rPr>
        <w:t>e</w:t>
      </w:r>
      <w:r w:rsidRPr="00F24406">
        <w:rPr>
          <w:rFonts w:cstheme="minorHAnsi"/>
          <w:sz w:val="24"/>
          <w:szCs w:val="24"/>
        </w:rPr>
        <w:t xml:space="preserve">l contexto contemporáneo </w:t>
      </w:r>
      <w:r w:rsidR="00F24FDF" w:rsidRPr="00F24406">
        <w:rPr>
          <w:rFonts w:cstheme="minorHAnsi"/>
          <w:sz w:val="24"/>
          <w:szCs w:val="24"/>
        </w:rPr>
        <w:t>(</w:t>
      </w:r>
      <w:r w:rsidRPr="00F24406">
        <w:rPr>
          <w:rFonts w:cstheme="minorHAnsi"/>
          <w:sz w:val="24"/>
          <w:szCs w:val="24"/>
        </w:rPr>
        <w:t xml:space="preserve">La sociedad postindustrial o de servicios, el capitalismo microelectrónico, la posmodernidad, la </w:t>
      </w:r>
      <w:proofErr w:type="spellStart"/>
      <w:r w:rsidRPr="00F24406">
        <w:rPr>
          <w:rFonts w:cstheme="minorHAnsi"/>
          <w:sz w:val="24"/>
          <w:szCs w:val="24"/>
        </w:rPr>
        <w:t>socialidad</w:t>
      </w:r>
      <w:proofErr w:type="spellEnd"/>
      <w:r w:rsidRPr="00F24406">
        <w:rPr>
          <w:rFonts w:cstheme="minorHAnsi"/>
          <w:sz w:val="24"/>
          <w:szCs w:val="24"/>
        </w:rPr>
        <w:t xml:space="preserve"> virtual</w:t>
      </w:r>
      <w:r w:rsidR="00F24FDF" w:rsidRPr="00F24406">
        <w:rPr>
          <w:rFonts w:cstheme="minorHAnsi"/>
          <w:sz w:val="24"/>
          <w:szCs w:val="24"/>
        </w:rPr>
        <w:t>);</w:t>
      </w:r>
      <w:r w:rsidRPr="00F24406">
        <w:rPr>
          <w:rFonts w:cstheme="minorHAnsi"/>
          <w:sz w:val="24"/>
          <w:szCs w:val="24"/>
        </w:rPr>
        <w:t xml:space="preserve"> </w:t>
      </w:r>
      <w:r w:rsidR="00F24FDF" w:rsidRPr="00F24406">
        <w:rPr>
          <w:rFonts w:cstheme="minorHAnsi"/>
          <w:sz w:val="24"/>
          <w:szCs w:val="24"/>
        </w:rPr>
        <w:t>e</w:t>
      </w:r>
      <w:r w:rsidRPr="00F24406">
        <w:rPr>
          <w:rFonts w:cstheme="minorHAnsi"/>
          <w:sz w:val="24"/>
          <w:szCs w:val="24"/>
        </w:rPr>
        <w:t>l “</w:t>
      </w:r>
      <w:proofErr w:type="spellStart"/>
      <w:r w:rsidRPr="00F24406">
        <w:rPr>
          <w:rFonts w:cstheme="minorHAnsi"/>
          <w:sz w:val="24"/>
          <w:szCs w:val="24"/>
        </w:rPr>
        <w:t>co-texto</w:t>
      </w:r>
      <w:proofErr w:type="spellEnd"/>
      <w:r w:rsidRPr="00F24406">
        <w:rPr>
          <w:rFonts w:cstheme="minorHAnsi"/>
          <w:sz w:val="24"/>
          <w:szCs w:val="24"/>
        </w:rPr>
        <w:t xml:space="preserve">” o contexto textual </w:t>
      </w:r>
      <w:r w:rsidR="00F24FDF" w:rsidRPr="00F24406">
        <w:rPr>
          <w:rFonts w:cstheme="minorHAnsi"/>
          <w:sz w:val="24"/>
          <w:szCs w:val="24"/>
        </w:rPr>
        <w:t>(</w:t>
      </w:r>
      <w:r w:rsidRPr="00F24406">
        <w:rPr>
          <w:rFonts w:cstheme="minorHAnsi"/>
          <w:sz w:val="24"/>
          <w:szCs w:val="24"/>
        </w:rPr>
        <w:t>Los “giros” en el pensamiento contemporáneo</w:t>
      </w:r>
      <w:r w:rsidR="00F24FDF" w:rsidRPr="00F24406">
        <w:rPr>
          <w:rFonts w:cstheme="minorHAnsi"/>
          <w:sz w:val="24"/>
          <w:szCs w:val="24"/>
        </w:rPr>
        <w:t>,</w:t>
      </w:r>
      <w:r w:rsidRPr="00F24406">
        <w:rPr>
          <w:rFonts w:cstheme="minorHAnsi"/>
          <w:sz w:val="24"/>
          <w:szCs w:val="24"/>
        </w:rPr>
        <w:t xml:space="preserve"> </w:t>
      </w:r>
      <w:r w:rsidR="00F24FDF" w:rsidRPr="00F24406">
        <w:rPr>
          <w:rFonts w:cstheme="minorHAnsi"/>
          <w:sz w:val="24"/>
          <w:szCs w:val="24"/>
        </w:rPr>
        <w:t>p</w:t>
      </w:r>
      <w:r w:rsidRPr="00F24406">
        <w:rPr>
          <w:rFonts w:cstheme="minorHAnsi"/>
          <w:sz w:val="24"/>
          <w:szCs w:val="24"/>
        </w:rPr>
        <w:t>ensamiento “</w:t>
      </w:r>
      <w:proofErr w:type="spellStart"/>
      <w:r w:rsidRPr="00F24406">
        <w:rPr>
          <w:rFonts w:cstheme="minorHAnsi"/>
          <w:sz w:val="24"/>
          <w:szCs w:val="24"/>
        </w:rPr>
        <w:t>posmetafísico</w:t>
      </w:r>
      <w:proofErr w:type="spellEnd"/>
      <w:r w:rsidRPr="00F24406">
        <w:rPr>
          <w:rFonts w:cstheme="minorHAnsi"/>
          <w:sz w:val="24"/>
          <w:szCs w:val="24"/>
        </w:rPr>
        <w:t xml:space="preserve">”, giro lingüístico, </w:t>
      </w:r>
      <w:proofErr w:type="spellStart"/>
      <w:r w:rsidRPr="00F24406">
        <w:rPr>
          <w:rFonts w:cstheme="minorHAnsi"/>
          <w:sz w:val="24"/>
          <w:szCs w:val="24"/>
        </w:rPr>
        <w:t>desfundamentalización</w:t>
      </w:r>
      <w:proofErr w:type="spellEnd"/>
      <w:r w:rsidRPr="00F24406">
        <w:rPr>
          <w:rFonts w:cstheme="minorHAnsi"/>
          <w:sz w:val="24"/>
          <w:szCs w:val="24"/>
        </w:rPr>
        <w:t xml:space="preserve"> de la razón, crítica del </w:t>
      </w:r>
      <w:proofErr w:type="spellStart"/>
      <w:r w:rsidRPr="00F24406">
        <w:rPr>
          <w:rFonts w:cstheme="minorHAnsi"/>
          <w:sz w:val="24"/>
          <w:szCs w:val="24"/>
        </w:rPr>
        <w:t>logocentrismo</w:t>
      </w:r>
      <w:proofErr w:type="spellEnd"/>
      <w:r w:rsidR="00F24FDF" w:rsidRPr="00F24406">
        <w:rPr>
          <w:rFonts w:cstheme="minorHAnsi"/>
          <w:sz w:val="24"/>
          <w:szCs w:val="24"/>
        </w:rPr>
        <w:t>).</w:t>
      </w:r>
    </w:p>
    <w:p w:rsidR="00BF24A0" w:rsidRDefault="0031414D" w:rsidP="00F24406">
      <w:pPr>
        <w:spacing w:after="0" w:line="240" w:lineRule="auto"/>
        <w:ind w:firstLine="708"/>
        <w:contextualSpacing/>
        <w:jc w:val="both"/>
        <w:rPr>
          <w:rFonts w:cstheme="minorHAnsi"/>
          <w:sz w:val="24"/>
          <w:szCs w:val="24"/>
        </w:rPr>
      </w:pPr>
      <w:r w:rsidRPr="00F24406">
        <w:rPr>
          <w:rFonts w:cstheme="minorHAnsi"/>
          <w:sz w:val="24"/>
          <w:szCs w:val="24"/>
        </w:rPr>
        <w:t>Así como los clásicos compartieron una preocupación por fenómenos característicos de su momento histórico (la revolución industrial, la división del trabajo, la urbanización, el individualismo), los contemporáneos generan un vocabulario para pensar fenómenos novedosos como los desarrollos de la informática y sus consecuencias en el trabajo y la comunicación, el replanteo del estado-nación que la modernidad había naturalizado, el advenimiento del riesgo global y las nuevas formas de interacción y de subjetivación. En suma, mientras los clásicos describieron la modernidad, los contemporáneos discuten la posmodernidad, el capitalismo tardío, capitalismo microelectrónico, la modernidad radicalizada, las sociedades complejas o la modernidad reflexiva. Este módulo introduce entonces temas que se desarrollarán a lo largo del programa antes de enfrentar a los estudiantes con textos conceptualmente más densos.</w:t>
      </w:r>
    </w:p>
    <w:p w:rsidR="00F24406" w:rsidRDefault="00F24406" w:rsidP="00F24406">
      <w:pPr>
        <w:spacing w:after="0" w:line="240" w:lineRule="auto"/>
        <w:contextualSpacing/>
        <w:jc w:val="both"/>
        <w:rPr>
          <w:rFonts w:cstheme="minorHAnsi"/>
          <w:sz w:val="24"/>
          <w:szCs w:val="24"/>
        </w:rPr>
      </w:pPr>
    </w:p>
    <w:p w:rsidR="00F24406" w:rsidRPr="00F24406" w:rsidRDefault="00F24406" w:rsidP="00F24406">
      <w:pPr>
        <w:spacing w:after="0" w:line="240" w:lineRule="auto"/>
        <w:contextualSpacing/>
        <w:jc w:val="both"/>
        <w:rPr>
          <w:rFonts w:cstheme="minorHAnsi"/>
          <w:sz w:val="24"/>
          <w:szCs w:val="24"/>
        </w:rPr>
      </w:pPr>
    </w:p>
    <w:p w:rsidR="0031414D" w:rsidRPr="00F24406" w:rsidRDefault="0031414D" w:rsidP="00F24406">
      <w:pPr>
        <w:spacing w:after="0" w:line="240" w:lineRule="auto"/>
        <w:ind w:right="-2"/>
        <w:contextualSpacing/>
        <w:jc w:val="center"/>
        <w:rPr>
          <w:rFonts w:cstheme="minorHAnsi"/>
          <w:sz w:val="24"/>
          <w:szCs w:val="24"/>
        </w:rPr>
      </w:pPr>
      <w:r w:rsidRPr="00F24406">
        <w:rPr>
          <w:rFonts w:cstheme="minorHAnsi"/>
          <w:b/>
          <w:sz w:val="24"/>
          <w:szCs w:val="24"/>
        </w:rPr>
        <w:t>MÓDULO II. El BLOQUE BIOPOLÍTICO (MICHEL FOUCAULT Y GIORGIO AGAMBEN) Y LA TEORÍA DEL DESEO (GILLES DELEUZE y SCOTT LASH)</w:t>
      </w:r>
    </w:p>
    <w:p w:rsidR="0031414D" w:rsidRPr="00F24406" w:rsidRDefault="0031414D" w:rsidP="00F24406">
      <w:pPr>
        <w:spacing w:after="0" w:line="240" w:lineRule="auto"/>
        <w:ind w:right="-82"/>
        <w:contextualSpacing/>
        <w:jc w:val="center"/>
        <w:rPr>
          <w:rFonts w:cstheme="minorHAnsi"/>
          <w:color w:val="FF0000"/>
          <w:sz w:val="24"/>
          <w:szCs w:val="24"/>
        </w:rPr>
      </w:pPr>
      <w:r w:rsidRPr="00F24406">
        <w:rPr>
          <w:rFonts w:cstheme="minorHAnsi"/>
          <w:noProof/>
          <w:color w:val="FF0000"/>
          <w:sz w:val="24"/>
          <w:szCs w:val="24"/>
          <w:lang w:eastAsia="es-UY"/>
        </w:rPr>
        <w:drawing>
          <wp:inline distT="0" distB="0" distL="0" distR="0" wp14:anchorId="2A65745D" wp14:editId="112DD427">
            <wp:extent cx="1232206" cy="1120140"/>
            <wp:effectExtent l="0" t="0" r="0" b="0"/>
            <wp:docPr id="3" name="Imagen 12" descr="fouc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foucau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6410" cy="1123962"/>
                    </a:xfrm>
                    <a:prstGeom prst="rect">
                      <a:avLst/>
                    </a:prstGeom>
                    <a:noFill/>
                    <a:ln>
                      <a:noFill/>
                    </a:ln>
                  </pic:spPr>
                </pic:pic>
              </a:graphicData>
            </a:graphic>
          </wp:inline>
        </w:drawing>
      </w:r>
      <w:r w:rsidRPr="00F24406">
        <w:rPr>
          <w:rFonts w:cstheme="minorHAnsi"/>
          <w:noProof/>
          <w:color w:val="FF0000"/>
          <w:sz w:val="24"/>
          <w:szCs w:val="24"/>
          <w:lang w:eastAsia="es-UY"/>
        </w:rPr>
        <w:drawing>
          <wp:inline distT="0" distB="0" distL="0" distR="0" wp14:anchorId="263090C5" wp14:editId="302E9CAD">
            <wp:extent cx="1685925" cy="1122218"/>
            <wp:effectExtent l="0" t="0" r="0" b="0"/>
            <wp:docPr id="4" name="Imagen 13" descr="Agam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Agamb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7817" cy="1123477"/>
                    </a:xfrm>
                    <a:prstGeom prst="rect">
                      <a:avLst/>
                    </a:prstGeom>
                    <a:noFill/>
                    <a:ln>
                      <a:noFill/>
                    </a:ln>
                  </pic:spPr>
                </pic:pic>
              </a:graphicData>
            </a:graphic>
          </wp:inline>
        </w:drawing>
      </w:r>
      <w:r w:rsidRPr="00F24406">
        <w:rPr>
          <w:rFonts w:cstheme="minorHAnsi"/>
          <w:noProof/>
          <w:color w:val="FF0000"/>
          <w:sz w:val="24"/>
          <w:szCs w:val="24"/>
          <w:lang w:eastAsia="es-UY"/>
        </w:rPr>
        <w:drawing>
          <wp:inline distT="0" distB="0" distL="0" distR="0" wp14:anchorId="073D5ACA" wp14:editId="57D0A4DD">
            <wp:extent cx="1514013" cy="1097915"/>
            <wp:effectExtent l="0" t="0" r="0" b="0"/>
            <wp:docPr id="5" name="Imagen 14" descr="dele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leuz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6320" cy="1099588"/>
                    </a:xfrm>
                    <a:prstGeom prst="rect">
                      <a:avLst/>
                    </a:prstGeom>
                    <a:noFill/>
                    <a:ln>
                      <a:noFill/>
                    </a:ln>
                  </pic:spPr>
                </pic:pic>
              </a:graphicData>
            </a:graphic>
          </wp:inline>
        </w:drawing>
      </w:r>
      <w:r w:rsidRPr="00F24406">
        <w:rPr>
          <w:rFonts w:cstheme="minorHAnsi"/>
          <w:noProof/>
          <w:color w:val="FF0000"/>
          <w:sz w:val="24"/>
          <w:szCs w:val="24"/>
          <w:lang w:eastAsia="es-UY"/>
        </w:rPr>
        <w:drawing>
          <wp:inline distT="0" distB="0" distL="0" distR="0" wp14:anchorId="7A5195F0" wp14:editId="26F2085B">
            <wp:extent cx="866775" cy="1098550"/>
            <wp:effectExtent l="0" t="0" r="0" b="0"/>
            <wp:docPr id="6" name="Imagen 15" descr="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a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1098550"/>
                    </a:xfrm>
                    <a:prstGeom prst="rect">
                      <a:avLst/>
                    </a:prstGeom>
                    <a:noFill/>
                    <a:ln>
                      <a:noFill/>
                    </a:ln>
                  </pic:spPr>
                </pic:pic>
              </a:graphicData>
            </a:graphic>
          </wp:inline>
        </w:drawing>
      </w:r>
    </w:p>
    <w:p w:rsidR="0031414D" w:rsidRPr="00F24406" w:rsidRDefault="0031414D" w:rsidP="00F24406">
      <w:pPr>
        <w:spacing w:after="0" w:line="240" w:lineRule="auto"/>
        <w:ind w:right="-82"/>
        <w:contextualSpacing/>
        <w:jc w:val="both"/>
        <w:rPr>
          <w:rFonts w:cstheme="minorHAnsi"/>
          <w:sz w:val="24"/>
          <w:szCs w:val="24"/>
          <w:lang w:val="en-US"/>
        </w:rPr>
      </w:pPr>
      <w:r w:rsidRPr="00F24406">
        <w:rPr>
          <w:rFonts w:cstheme="minorHAnsi"/>
          <w:color w:val="FF0000"/>
          <w:sz w:val="24"/>
          <w:szCs w:val="24"/>
          <w:lang w:val="en-US"/>
        </w:rPr>
        <w:t xml:space="preserve">         </w:t>
      </w:r>
      <w:r w:rsidR="00F24FDF" w:rsidRPr="00F24406">
        <w:rPr>
          <w:rFonts w:cstheme="minorHAnsi"/>
          <w:color w:val="FF0000"/>
          <w:sz w:val="24"/>
          <w:szCs w:val="24"/>
          <w:lang w:val="en-US"/>
        </w:rPr>
        <w:t xml:space="preserve">  </w:t>
      </w:r>
      <w:r w:rsidRPr="00F24406">
        <w:rPr>
          <w:rFonts w:cstheme="minorHAnsi"/>
          <w:sz w:val="24"/>
          <w:szCs w:val="24"/>
          <w:lang w:val="en-US"/>
        </w:rPr>
        <w:t>Michel Foucault             Giorgio Agamben                 Gilles Deleuze              Scott Lash</w:t>
      </w:r>
    </w:p>
    <w:p w:rsidR="00F24406" w:rsidRPr="00F24406" w:rsidRDefault="00F24406" w:rsidP="00F24406">
      <w:pPr>
        <w:spacing w:after="0" w:line="240" w:lineRule="auto"/>
        <w:ind w:right="-82"/>
        <w:contextualSpacing/>
        <w:jc w:val="both"/>
        <w:rPr>
          <w:rFonts w:cstheme="minorHAnsi"/>
          <w:sz w:val="24"/>
          <w:szCs w:val="24"/>
          <w:lang w:val="en-US"/>
        </w:rPr>
      </w:pPr>
    </w:p>
    <w:p w:rsidR="0031414D" w:rsidRPr="00F24406" w:rsidRDefault="0031414D" w:rsidP="00F24406">
      <w:pPr>
        <w:spacing w:after="0" w:line="240" w:lineRule="auto"/>
        <w:ind w:right="-82"/>
        <w:contextualSpacing/>
        <w:jc w:val="both"/>
        <w:rPr>
          <w:rFonts w:cstheme="minorHAnsi"/>
          <w:sz w:val="24"/>
          <w:szCs w:val="24"/>
        </w:rPr>
      </w:pPr>
      <w:r w:rsidRPr="00F24406">
        <w:rPr>
          <w:rFonts w:cstheme="minorHAnsi"/>
          <w:sz w:val="24"/>
          <w:szCs w:val="24"/>
        </w:rPr>
        <w:t xml:space="preserve">Los años 70 vieron el surgimiento o reformulación de movimientos filosóficos como la filosofía analítica, el </w:t>
      </w:r>
      <w:proofErr w:type="spellStart"/>
      <w:r w:rsidRPr="00F24406">
        <w:rPr>
          <w:rFonts w:cstheme="minorHAnsi"/>
          <w:sz w:val="24"/>
          <w:szCs w:val="24"/>
        </w:rPr>
        <w:t>post-estructuralismo</w:t>
      </w:r>
      <w:proofErr w:type="spellEnd"/>
      <w:r w:rsidRPr="00F24406">
        <w:rPr>
          <w:rFonts w:cstheme="minorHAnsi"/>
          <w:sz w:val="24"/>
          <w:szCs w:val="24"/>
        </w:rPr>
        <w:t xml:space="preserve"> y el boom editorial de las microsociologías. Parte de esta crisis –y respuestas como la interaccionista, la de la fenomenología social y la etnometodología- es tratada en cursos anteriores de la carrera. Dentro de esta proliferación, dos formulaciones </w:t>
      </w:r>
      <w:proofErr w:type="spellStart"/>
      <w:r w:rsidRPr="00F24406">
        <w:rPr>
          <w:rFonts w:cstheme="minorHAnsi"/>
          <w:sz w:val="24"/>
          <w:szCs w:val="24"/>
        </w:rPr>
        <w:t>extra-</w:t>
      </w:r>
      <w:proofErr w:type="gramStart"/>
      <w:r w:rsidRPr="00F24406">
        <w:rPr>
          <w:rFonts w:cstheme="minorHAnsi"/>
          <w:sz w:val="24"/>
          <w:szCs w:val="24"/>
        </w:rPr>
        <w:t>disciplinarias</w:t>
      </w:r>
      <w:proofErr w:type="spellEnd"/>
      <w:proofErr w:type="gramEnd"/>
      <w:r w:rsidRPr="00F24406">
        <w:rPr>
          <w:rFonts w:cstheme="minorHAnsi"/>
          <w:sz w:val="24"/>
          <w:szCs w:val="24"/>
        </w:rPr>
        <w:t xml:space="preserve"> pero con influencia en la crisis de la teoría sociológica, el posestructuralismo y la teoría del deseo, prepararon la formulación del posmodernismo.</w:t>
      </w:r>
    </w:p>
    <w:p w:rsidR="0031414D" w:rsidRPr="00F24406" w:rsidRDefault="0031414D" w:rsidP="00F24406">
      <w:pPr>
        <w:spacing w:after="0" w:line="240" w:lineRule="auto"/>
        <w:ind w:right="-82" w:firstLine="708"/>
        <w:contextualSpacing/>
        <w:jc w:val="both"/>
        <w:rPr>
          <w:rFonts w:cstheme="minorHAnsi"/>
          <w:sz w:val="24"/>
          <w:szCs w:val="24"/>
        </w:rPr>
      </w:pPr>
      <w:r w:rsidRPr="00F24406">
        <w:rPr>
          <w:rFonts w:cstheme="minorHAnsi"/>
          <w:sz w:val="24"/>
          <w:szCs w:val="24"/>
        </w:rPr>
        <w:lastRenderedPageBreak/>
        <w:t xml:space="preserve">El pensamiento de </w:t>
      </w:r>
      <w:r w:rsidRPr="00F24406">
        <w:rPr>
          <w:rFonts w:cstheme="minorHAnsi"/>
          <w:b/>
          <w:sz w:val="24"/>
          <w:szCs w:val="24"/>
        </w:rPr>
        <w:t>Michel Foucault</w:t>
      </w:r>
      <w:r w:rsidRPr="00F24406">
        <w:rPr>
          <w:rFonts w:cstheme="minorHAnsi"/>
          <w:sz w:val="24"/>
          <w:szCs w:val="24"/>
        </w:rPr>
        <w:t xml:space="preserve"> atraviesa varias disciplinas. Aunque tiene bases en el estructuralismo lingüístico (por ej. en su definición de “discurso” como “el conjunto de reglas que rigen la función enunciativa”), su pasaje del análisis del texto al análisis del discurso significó un pasaje de la función al funcionamiento. Una sociología que intente pensar sobre estas bases debería abandonar los sujetos trascendentes para abordar su producción discursiva y debería abandonar la idea de un poder localizado frente al mapeo de “dispositivos” que producen y transportan poder a través de los cuerpos (el texto de Giddens sólo está incluido por su crítica a Foucault desde el cambio la intimidad, el pasaje de la “perversión” al “pluralismo” y la emergencia de sociedades </w:t>
      </w:r>
      <w:proofErr w:type="spellStart"/>
      <w:r w:rsidRPr="00F24406">
        <w:rPr>
          <w:rFonts w:cstheme="minorHAnsi"/>
          <w:sz w:val="24"/>
          <w:szCs w:val="24"/>
        </w:rPr>
        <w:t>pos-disciplinarias</w:t>
      </w:r>
      <w:proofErr w:type="spellEnd"/>
      <w:r w:rsidRPr="00F24406">
        <w:rPr>
          <w:rFonts w:cstheme="minorHAnsi"/>
          <w:sz w:val="24"/>
          <w:szCs w:val="24"/>
        </w:rPr>
        <w:t xml:space="preserve">). </w:t>
      </w:r>
    </w:p>
    <w:p w:rsidR="0031414D" w:rsidRPr="00F24406" w:rsidRDefault="0031414D" w:rsidP="00F24406">
      <w:pPr>
        <w:spacing w:after="0" w:line="240" w:lineRule="auto"/>
        <w:ind w:right="-82" w:firstLine="708"/>
        <w:contextualSpacing/>
        <w:jc w:val="both"/>
        <w:rPr>
          <w:rFonts w:cstheme="minorHAnsi"/>
          <w:sz w:val="24"/>
          <w:szCs w:val="24"/>
        </w:rPr>
      </w:pPr>
      <w:r w:rsidRPr="00F24406">
        <w:rPr>
          <w:rFonts w:cstheme="minorHAnsi"/>
          <w:sz w:val="24"/>
          <w:szCs w:val="24"/>
        </w:rPr>
        <w:t xml:space="preserve">La política exterior de USA y su enfrentamiento con Al Qaeda, ISIS –y en particular el campo de detenidos establecido en Guantánamo cuando Clinton autorizó en el 2001 la detención indefinida y el procesamiento militar de no-ciudadanos sospechosos de terrorismo- alimentaron un debate global sobre los derechos humanos y el “estado de excepción global”. Richard </w:t>
      </w:r>
      <w:proofErr w:type="spellStart"/>
      <w:r w:rsidRPr="00F24406">
        <w:rPr>
          <w:rFonts w:cstheme="minorHAnsi"/>
          <w:sz w:val="24"/>
          <w:szCs w:val="24"/>
        </w:rPr>
        <w:t>Rorty</w:t>
      </w:r>
      <w:proofErr w:type="spellEnd"/>
      <w:r w:rsidRPr="00F24406">
        <w:rPr>
          <w:rFonts w:cstheme="minorHAnsi"/>
          <w:sz w:val="24"/>
          <w:szCs w:val="24"/>
        </w:rPr>
        <w:t xml:space="preserve"> (fallecido en 2006) y </w:t>
      </w:r>
      <w:r w:rsidRPr="00F24406">
        <w:rPr>
          <w:rFonts w:cstheme="minorHAnsi"/>
          <w:b/>
          <w:sz w:val="24"/>
          <w:szCs w:val="24"/>
        </w:rPr>
        <w:t>Giorgio Agamben</w:t>
      </w:r>
      <w:r w:rsidRPr="00F24406">
        <w:rPr>
          <w:rFonts w:cstheme="minorHAnsi"/>
          <w:sz w:val="24"/>
          <w:szCs w:val="24"/>
        </w:rPr>
        <w:t xml:space="preserve"> aportaron sustancia teórica al debate. Según Agamben, el biopoder administra en forma calculada la “vida desnuda”. Aunque es más notorio en el estado moderno, esto se dio desde los comienzos de la soberanía en occidente y el “estado de excepción” rige la política contemporánea. Desarrolla el posestructuralismo foucaultiano, destacando la permanencia de los dispositivos de poder. </w:t>
      </w:r>
    </w:p>
    <w:p w:rsidR="0031414D" w:rsidRPr="00F24406" w:rsidRDefault="0031414D" w:rsidP="00F24406">
      <w:pPr>
        <w:spacing w:after="0" w:line="240" w:lineRule="auto"/>
        <w:ind w:right="-82" w:firstLine="708"/>
        <w:contextualSpacing/>
        <w:jc w:val="both"/>
        <w:rPr>
          <w:rFonts w:cstheme="minorHAnsi"/>
          <w:sz w:val="24"/>
          <w:szCs w:val="24"/>
        </w:rPr>
      </w:pPr>
      <w:r w:rsidRPr="00F24406">
        <w:rPr>
          <w:rFonts w:cstheme="minorHAnsi"/>
          <w:sz w:val="24"/>
          <w:szCs w:val="24"/>
        </w:rPr>
        <w:t xml:space="preserve">Desde su pensamiento nómade, </w:t>
      </w:r>
      <w:r w:rsidRPr="00F24406">
        <w:rPr>
          <w:rFonts w:cstheme="minorHAnsi"/>
          <w:b/>
          <w:sz w:val="24"/>
          <w:szCs w:val="24"/>
        </w:rPr>
        <w:t>Gilles Deleuze</w:t>
      </w:r>
      <w:r w:rsidRPr="00F24406">
        <w:rPr>
          <w:rFonts w:cstheme="minorHAnsi"/>
          <w:sz w:val="24"/>
          <w:szCs w:val="24"/>
        </w:rPr>
        <w:t xml:space="preserve"> atacó al realismo epistemológico. Negó que la función de la crítica sea "representar" al mundo: la ficción es inherente a todo discurso y tiene “efectos de sentido”, entre ellos la "verdad". Se constituye así lo que Deleuze llamó “balbuceo”, que sería deseable introducir aún en aquel tipo de literatura que llamamos ciencia: "…incluso en función de la pura ciencia: ¿Cabe progresar sin entrar en regiones alejadas del equilibrio? La física da fe de ello...Es la única manera de introducir el deseo en el campo correspondiente" (Deleuze, 1993: 152).</w:t>
      </w:r>
    </w:p>
    <w:p w:rsidR="0031414D" w:rsidRPr="00F24406" w:rsidRDefault="0031414D" w:rsidP="00F24406">
      <w:pPr>
        <w:spacing w:after="0" w:line="240" w:lineRule="auto"/>
        <w:ind w:right="-82" w:firstLine="708"/>
        <w:contextualSpacing/>
        <w:jc w:val="both"/>
        <w:rPr>
          <w:rFonts w:cstheme="minorHAnsi"/>
          <w:sz w:val="24"/>
          <w:szCs w:val="24"/>
        </w:rPr>
      </w:pPr>
      <w:r w:rsidRPr="00F24406">
        <w:rPr>
          <w:rFonts w:cstheme="minorHAnsi"/>
          <w:sz w:val="24"/>
          <w:szCs w:val="24"/>
        </w:rPr>
        <w:t>El módulo tiene el objetivo de analizar y discutir conceptos teóricos como: poder, represión y progreso; el “hombre sagrado”, la “vida desnuda” y el “estado de excepción”. Preguntarse por las transiciones de las tecnologías del yo a la construcción ética de la subjetividad, de los campos de concentración a los campos de deportados detenidos en Europa y de las sociedades disciplinarias a las sociedades de control. También se pretende conocer y discutir el método de la arqueología, genealogía y ética; la epistemología nómade y el balbuceo, y la teoría del deseo.</w:t>
      </w:r>
    </w:p>
    <w:p w:rsidR="00F24406" w:rsidRDefault="00F24406" w:rsidP="00F24406">
      <w:pPr>
        <w:spacing w:after="0" w:line="240" w:lineRule="auto"/>
        <w:ind w:right="-82"/>
        <w:contextualSpacing/>
        <w:jc w:val="both"/>
        <w:rPr>
          <w:rFonts w:cstheme="minorHAnsi"/>
          <w:sz w:val="24"/>
          <w:szCs w:val="24"/>
        </w:rPr>
      </w:pPr>
    </w:p>
    <w:p w:rsidR="007C4FEA" w:rsidRPr="00F24406" w:rsidRDefault="007C4FEA" w:rsidP="00F24406">
      <w:pPr>
        <w:spacing w:after="0" w:line="240" w:lineRule="auto"/>
        <w:ind w:right="-82"/>
        <w:contextualSpacing/>
        <w:jc w:val="both"/>
        <w:rPr>
          <w:rFonts w:cstheme="minorHAnsi"/>
          <w:sz w:val="24"/>
          <w:szCs w:val="24"/>
        </w:rPr>
      </w:pPr>
    </w:p>
    <w:p w:rsidR="0031414D" w:rsidRPr="00F24406" w:rsidRDefault="0031414D" w:rsidP="00F24406">
      <w:pPr>
        <w:spacing w:after="0" w:line="240" w:lineRule="auto"/>
        <w:ind w:right="-2"/>
        <w:contextualSpacing/>
        <w:jc w:val="center"/>
        <w:rPr>
          <w:rFonts w:cstheme="minorHAnsi"/>
          <w:b/>
          <w:sz w:val="24"/>
          <w:szCs w:val="24"/>
        </w:rPr>
      </w:pPr>
      <w:r w:rsidRPr="00F24406">
        <w:rPr>
          <w:rFonts w:cstheme="minorHAnsi"/>
          <w:b/>
          <w:sz w:val="24"/>
          <w:szCs w:val="24"/>
        </w:rPr>
        <w:t>MÓDULO III- EL PENSAMIENTO POSMODERNISTA</w:t>
      </w:r>
    </w:p>
    <w:p w:rsidR="0031414D" w:rsidRPr="00F24406" w:rsidRDefault="0031414D" w:rsidP="00F24406">
      <w:pPr>
        <w:pStyle w:val="Textoindependiente"/>
        <w:spacing w:after="0"/>
        <w:ind w:left="567" w:right="459" w:firstLine="708"/>
        <w:contextualSpacing/>
        <w:jc w:val="center"/>
        <w:rPr>
          <w:rFonts w:asciiTheme="minorHAnsi" w:hAnsiTheme="minorHAnsi" w:cstheme="minorHAnsi"/>
          <w:color w:val="FF0000"/>
          <w:lang w:val="fr-FR"/>
        </w:rPr>
      </w:pPr>
      <w:r w:rsidRPr="00F24406">
        <w:rPr>
          <w:rFonts w:asciiTheme="minorHAnsi" w:hAnsiTheme="minorHAnsi" w:cstheme="minorHAnsi"/>
          <w:noProof/>
          <w:color w:val="FF0000"/>
          <w:lang w:val="es-UY" w:eastAsia="es-UY"/>
        </w:rPr>
        <w:drawing>
          <wp:inline distT="0" distB="0" distL="0" distR="0" wp14:anchorId="2E3761C1" wp14:editId="1DADE2A9">
            <wp:extent cx="904875" cy="1216175"/>
            <wp:effectExtent l="0" t="0" r="0" b="3175"/>
            <wp:docPr id="7" name="Imagen 16" descr="lyo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yot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267" cy="1218045"/>
                    </a:xfrm>
                    <a:prstGeom prst="rect">
                      <a:avLst/>
                    </a:prstGeom>
                    <a:noFill/>
                    <a:ln>
                      <a:noFill/>
                    </a:ln>
                  </pic:spPr>
                </pic:pic>
              </a:graphicData>
            </a:graphic>
          </wp:inline>
        </w:drawing>
      </w:r>
      <w:r w:rsidR="00BF24A0" w:rsidRPr="00F24406">
        <w:rPr>
          <w:rFonts w:asciiTheme="minorHAnsi" w:hAnsiTheme="minorHAnsi" w:cstheme="minorHAnsi"/>
          <w:color w:val="FF0000"/>
          <w:lang w:val="fr-FR"/>
        </w:rPr>
        <w:t xml:space="preserve">      </w:t>
      </w:r>
      <w:r w:rsidRPr="00F24406">
        <w:rPr>
          <w:rFonts w:asciiTheme="minorHAnsi" w:hAnsiTheme="minorHAnsi" w:cstheme="minorHAnsi"/>
          <w:noProof/>
          <w:color w:val="FF0000"/>
          <w:lang w:val="es-UY" w:eastAsia="es-UY"/>
        </w:rPr>
        <w:drawing>
          <wp:inline distT="0" distB="0" distL="0" distR="0" wp14:anchorId="32DD340E" wp14:editId="6B22BB93">
            <wp:extent cx="1068792" cy="1223645"/>
            <wp:effectExtent l="0" t="0" r="0" b="0"/>
            <wp:docPr id="9"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1067" cy="1226250"/>
                    </a:xfrm>
                    <a:prstGeom prst="rect">
                      <a:avLst/>
                    </a:prstGeom>
                    <a:noFill/>
                    <a:ln>
                      <a:noFill/>
                    </a:ln>
                  </pic:spPr>
                </pic:pic>
              </a:graphicData>
            </a:graphic>
          </wp:inline>
        </w:drawing>
      </w:r>
    </w:p>
    <w:p w:rsidR="0031414D" w:rsidRPr="00F24406" w:rsidRDefault="0031414D" w:rsidP="00F24406">
      <w:pPr>
        <w:pStyle w:val="Textoindependiente"/>
        <w:spacing w:after="0"/>
        <w:ind w:right="-2"/>
        <w:contextualSpacing/>
        <w:jc w:val="both"/>
        <w:rPr>
          <w:rFonts w:asciiTheme="minorHAnsi" w:hAnsiTheme="minorHAnsi" w:cstheme="minorHAnsi"/>
          <w:b/>
          <w:bCs/>
          <w:lang w:val="fr-FR"/>
        </w:rPr>
      </w:pPr>
      <w:r w:rsidRPr="00F24406">
        <w:rPr>
          <w:rFonts w:asciiTheme="minorHAnsi" w:hAnsiTheme="minorHAnsi" w:cstheme="minorHAnsi"/>
          <w:color w:val="FF0000"/>
          <w:lang w:val="fr-FR"/>
        </w:rPr>
        <w:t xml:space="preserve">                                                </w:t>
      </w:r>
      <w:r w:rsidR="00BF24A0" w:rsidRPr="00F24406">
        <w:rPr>
          <w:rFonts w:asciiTheme="minorHAnsi" w:hAnsiTheme="minorHAnsi" w:cstheme="minorHAnsi"/>
          <w:color w:val="FF0000"/>
          <w:lang w:val="fr-FR"/>
        </w:rPr>
        <w:t xml:space="preserve">        </w:t>
      </w:r>
      <w:proofErr w:type="spellStart"/>
      <w:r w:rsidRPr="00F24406">
        <w:rPr>
          <w:rFonts w:asciiTheme="minorHAnsi" w:hAnsiTheme="minorHAnsi" w:cstheme="minorHAnsi"/>
          <w:lang w:val="fr-FR"/>
        </w:rPr>
        <w:t>Francois</w:t>
      </w:r>
      <w:proofErr w:type="spellEnd"/>
      <w:r w:rsidRPr="00F24406">
        <w:rPr>
          <w:rFonts w:asciiTheme="minorHAnsi" w:hAnsiTheme="minorHAnsi" w:cstheme="minorHAnsi"/>
          <w:lang w:val="fr-FR"/>
        </w:rPr>
        <w:t xml:space="preserve"> Lyotard </w:t>
      </w:r>
      <w:r w:rsidR="00BF24A0" w:rsidRPr="00F24406">
        <w:rPr>
          <w:rFonts w:asciiTheme="minorHAnsi" w:hAnsiTheme="minorHAnsi" w:cstheme="minorHAnsi"/>
          <w:lang w:val="fr-FR"/>
        </w:rPr>
        <w:t xml:space="preserve"> </w:t>
      </w:r>
      <w:r w:rsidRPr="00F24406">
        <w:rPr>
          <w:rFonts w:asciiTheme="minorHAnsi" w:hAnsiTheme="minorHAnsi" w:cstheme="minorHAnsi"/>
          <w:lang w:val="fr-FR"/>
        </w:rPr>
        <w:t xml:space="preserve"> </w:t>
      </w:r>
      <w:r w:rsidR="00BF24A0" w:rsidRPr="00F24406">
        <w:rPr>
          <w:rFonts w:asciiTheme="minorHAnsi" w:hAnsiTheme="minorHAnsi" w:cstheme="minorHAnsi"/>
          <w:lang w:val="fr-FR"/>
        </w:rPr>
        <w:t xml:space="preserve">    </w:t>
      </w:r>
      <w:r w:rsidRPr="00F24406">
        <w:rPr>
          <w:rFonts w:asciiTheme="minorHAnsi" w:hAnsiTheme="minorHAnsi" w:cstheme="minorHAnsi"/>
          <w:lang w:val="fr-FR"/>
        </w:rPr>
        <w:t xml:space="preserve">Jacques Derrida </w:t>
      </w:r>
    </w:p>
    <w:p w:rsidR="00BF24A0" w:rsidRPr="00F24406" w:rsidRDefault="00BF24A0" w:rsidP="00F24406">
      <w:pPr>
        <w:tabs>
          <w:tab w:val="left" w:leader="dot" w:pos="9299"/>
          <w:tab w:val="left" w:pos="9339"/>
          <w:tab w:val="left" w:pos="9563"/>
        </w:tabs>
        <w:spacing w:after="0" w:line="240" w:lineRule="auto"/>
        <w:contextualSpacing/>
        <w:jc w:val="both"/>
        <w:rPr>
          <w:rFonts w:cstheme="minorHAnsi"/>
          <w:b/>
          <w:sz w:val="24"/>
          <w:szCs w:val="24"/>
          <w:lang w:val="fr-FR"/>
        </w:rPr>
      </w:pPr>
    </w:p>
    <w:p w:rsidR="0031414D" w:rsidRPr="00F24406" w:rsidRDefault="0031414D" w:rsidP="00F24406">
      <w:pPr>
        <w:tabs>
          <w:tab w:val="left" w:leader="dot" w:pos="9299"/>
          <w:tab w:val="left" w:pos="9339"/>
          <w:tab w:val="left" w:pos="9563"/>
        </w:tabs>
        <w:spacing w:after="0" w:line="240" w:lineRule="auto"/>
        <w:contextualSpacing/>
        <w:jc w:val="both"/>
        <w:rPr>
          <w:rFonts w:cstheme="minorHAnsi"/>
          <w:sz w:val="24"/>
          <w:szCs w:val="24"/>
        </w:rPr>
      </w:pPr>
      <w:proofErr w:type="spellStart"/>
      <w:r w:rsidRPr="00F24406">
        <w:rPr>
          <w:rFonts w:cstheme="minorHAnsi"/>
          <w:b/>
          <w:sz w:val="24"/>
          <w:szCs w:val="24"/>
          <w:lang w:val="fr-FR"/>
        </w:rPr>
        <w:t>Francois</w:t>
      </w:r>
      <w:proofErr w:type="spellEnd"/>
      <w:r w:rsidRPr="00F24406">
        <w:rPr>
          <w:rFonts w:cstheme="minorHAnsi"/>
          <w:b/>
          <w:sz w:val="24"/>
          <w:szCs w:val="24"/>
        </w:rPr>
        <w:t xml:space="preserve"> Lyotard</w:t>
      </w:r>
      <w:r w:rsidRPr="00F24406">
        <w:rPr>
          <w:rFonts w:cstheme="minorHAnsi"/>
          <w:sz w:val="24"/>
          <w:szCs w:val="24"/>
        </w:rPr>
        <w:t xml:space="preserve">, formado en filosofía y letras, pese a su trayectoria marxista, fue reconocido en los ochentas como uno de los más influyentes teóricos posmodernistas. La visibilidad de su debate con Habermas le dio un papel clave en la integración del paradigma. </w:t>
      </w:r>
      <w:r w:rsidRPr="00F24406">
        <w:rPr>
          <w:rFonts w:cstheme="minorHAnsi"/>
          <w:b/>
          <w:sz w:val="24"/>
          <w:szCs w:val="24"/>
          <w:lang w:val="fr-FR"/>
        </w:rPr>
        <w:t>Jacques</w:t>
      </w:r>
      <w:r w:rsidRPr="00F24406">
        <w:rPr>
          <w:rFonts w:cstheme="minorHAnsi"/>
          <w:b/>
          <w:sz w:val="24"/>
          <w:szCs w:val="24"/>
        </w:rPr>
        <w:t xml:space="preserve"> Derrida</w:t>
      </w:r>
      <w:r w:rsidRPr="00F24406">
        <w:rPr>
          <w:rFonts w:cstheme="minorHAnsi"/>
          <w:sz w:val="24"/>
          <w:szCs w:val="24"/>
        </w:rPr>
        <w:t xml:space="preserve">, filósofo y crítico literario, cuestionó la existencia de la verdad y la objetividad con la </w:t>
      </w:r>
      <w:r w:rsidRPr="00F24406">
        <w:rPr>
          <w:rFonts w:cstheme="minorHAnsi"/>
          <w:sz w:val="24"/>
          <w:szCs w:val="24"/>
        </w:rPr>
        <w:lastRenderedPageBreak/>
        <w:t xml:space="preserve">“deconstrucción” para identificar verdades transitorias que se presentan con tácticamente con intereses políticos.  </w:t>
      </w:r>
    </w:p>
    <w:p w:rsidR="0031414D" w:rsidRDefault="0031414D" w:rsidP="00F24406">
      <w:pPr>
        <w:tabs>
          <w:tab w:val="left" w:leader="dot" w:pos="9299"/>
          <w:tab w:val="left" w:pos="9339"/>
          <w:tab w:val="left" w:pos="9563"/>
        </w:tabs>
        <w:spacing w:after="0" w:line="240" w:lineRule="auto"/>
        <w:contextualSpacing/>
        <w:jc w:val="both"/>
        <w:rPr>
          <w:rFonts w:cstheme="minorHAnsi"/>
          <w:sz w:val="24"/>
          <w:szCs w:val="24"/>
        </w:rPr>
      </w:pPr>
    </w:p>
    <w:p w:rsidR="00F24406" w:rsidRPr="00F24406" w:rsidRDefault="00F24406" w:rsidP="00F24406">
      <w:pPr>
        <w:tabs>
          <w:tab w:val="left" w:leader="dot" w:pos="9299"/>
          <w:tab w:val="left" w:pos="9339"/>
          <w:tab w:val="left" w:pos="9563"/>
        </w:tabs>
        <w:spacing w:after="0" w:line="240" w:lineRule="auto"/>
        <w:contextualSpacing/>
        <w:jc w:val="both"/>
        <w:rPr>
          <w:rFonts w:cstheme="minorHAnsi"/>
          <w:sz w:val="24"/>
          <w:szCs w:val="24"/>
        </w:rPr>
      </w:pPr>
    </w:p>
    <w:p w:rsidR="0031414D" w:rsidRPr="00F24406" w:rsidRDefault="0031414D" w:rsidP="00F24406">
      <w:pPr>
        <w:tabs>
          <w:tab w:val="left" w:pos="8222"/>
        </w:tabs>
        <w:spacing w:after="0" w:line="240" w:lineRule="auto"/>
        <w:ind w:right="-2"/>
        <w:contextualSpacing/>
        <w:jc w:val="center"/>
        <w:rPr>
          <w:rFonts w:cstheme="minorHAnsi"/>
          <w:b/>
          <w:sz w:val="24"/>
          <w:szCs w:val="24"/>
        </w:rPr>
      </w:pPr>
      <w:r w:rsidRPr="00F24406">
        <w:rPr>
          <w:rFonts w:cstheme="minorHAnsi"/>
          <w:b/>
          <w:sz w:val="24"/>
          <w:szCs w:val="24"/>
        </w:rPr>
        <w:t>MÓDULO IV- LA POLÍTICA CONTEMPORÁNEA: LA TEORÍA DEL RECONOCIMIENTO Y LA REDISTRIBUCIÓN</w:t>
      </w:r>
    </w:p>
    <w:p w:rsidR="0031414D" w:rsidRPr="00F24406" w:rsidRDefault="0031414D" w:rsidP="00F24406">
      <w:pPr>
        <w:spacing w:after="0" w:line="240" w:lineRule="auto"/>
        <w:ind w:right="-82"/>
        <w:contextualSpacing/>
        <w:rPr>
          <w:rFonts w:cstheme="minorHAnsi"/>
          <w:sz w:val="24"/>
          <w:szCs w:val="24"/>
        </w:rPr>
      </w:pPr>
      <w:r w:rsidRPr="00F24406">
        <w:rPr>
          <w:rFonts w:cstheme="minorHAnsi"/>
          <w:noProof/>
          <w:color w:val="FF0000"/>
          <w:sz w:val="24"/>
          <w:szCs w:val="24"/>
          <w:lang w:eastAsia="es-UY"/>
        </w:rPr>
        <w:drawing>
          <wp:anchor distT="0" distB="0" distL="0" distR="0" simplePos="0" relativeHeight="251659264" behindDoc="0" locked="0" layoutInCell="1" allowOverlap="0" wp14:anchorId="2E82E2FA" wp14:editId="6E4A4BF0">
            <wp:simplePos x="0" y="0"/>
            <wp:positionH relativeFrom="column">
              <wp:posOffset>1838325</wp:posOffset>
            </wp:positionH>
            <wp:positionV relativeFrom="line">
              <wp:posOffset>4445</wp:posOffset>
            </wp:positionV>
            <wp:extent cx="1114425" cy="1219200"/>
            <wp:effectExtent l="19050" t="0" r="9525" b="0"/>
            <wp:wrapSquare wrapText="bothSides"/>
            <wp:docPr id="20" name="Imagen 2" descr="Axel Honn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xel Honne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4425" cy="1219200"/>
                    </a:xfrm>
                    <a:prstGeom prst="rect">
                      <a:avLst/>
                    </a:prstGeom>
                    <a:noFill/>
                  </pic:spPr>
                </pic:pic>
              </a:graphicData>
            </a:graphic>
          </wp:anchor>
        </w:drawing>
      </w:r>
      <w:r w:rsidRPr="00F24406">
        <w:rPr>
          <w:rFonts w:cstheme="minorHAnsi"/>
          <w:sz w:val="24"/>
          <w:szCs w:val="24"/>
        </w:rPr>
        <w:t xml:space="preserve">                 </w:t>
      </w:r>
      <w:r w:rsidR="00BF24A0" w:rsidRPr="00F24406">
        <w:rPr>
          <w:rFonts w:cstheme="minorHAnsi"/>
          <w:sz w:val="24"/>
          <w:szCs w:val="24"/>
        </w:rPr>
        <w:t xml:space="preserve">  </w:t>
      </w:r>
      <w:r w:rsidRPr="00F24406">
        <w:rPr>
          <w:rFonts w:cstheme="minorHAnsi"/>
          <w:sz w:val="24"/>
          <w:szCs w:val="24"/>
        </w:rPr>
        <w:object w:dxaOrig="4830"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98.25pt" o:ole="">
            <v:imagedata r:id="rId15" o:title=""/>
          </v:shape>
          <o:OLEObject Type="Embed" ProgID="PBrush" ShapeID="_x0000_i1025" DrawAspect="Content" ObjectID="_1622378775" r:id="rId16"/>
        </w:object>
      </w:r>
      <w:r w:rsidRPr="00F24406">
        <w:rPr>
          <w:rFonts w:cstheme="minorHAnsi"/>
          <w:sz w:val="24"/>
          <w:szCs w:val="24"/>
        </w:rPr>
        <w:t xml:space="preserve">                                                                    </w:t>
      </w:r>
    </w:p>
    <w:p w:rsidR="0031414D" w:rsidRPr="00F24406" w:rsidRDefault="0031414D" w:rsidP="00F24406">
      <w:pPr>
        <w:spacing w:after="0" w:line="240" w:lineRule="auto"/>
        <w:ind w:right="-82"/>
        <w:contextualSpacing/>
        <w:jc w:val="center"/>
        <w:rPr>
          <w:rFonts w:cstheme="minorHAnsi"/>
          <w:sz w:val="24"/>
          <w:szCs w:val="24"/>
        </w:rPr>
      </w:pPr>
      <w:r w:rsidRPr="00F24406">
        <w:rPr>
          <w:rFonts w:cstheme="minorHAnsi"/>
          <w:sz w:val="24"/>
          <w:szCs w:val="24"/>
        </w:rPr>
        <w:t xml:space="preserve">      Axel Honneth           Nancy Fraser</w:t>
      </w:r>
    </w:p>
    <w:p w:rsidR="00BF24A0" w:rsidRPr="00F24406" w:rsidRDefault="00BF24A0" w:rsidP="00F24406">
      <w:pPr>
        <w:spacing w:after="0" w:line="240" w:lineRule="auto"/>
        <w:contextualSpacing/>
        <w:jc w:val="both"/>
        <w:rPr>
          <w:rFonts w:cstheme="minorHAnsi"/>
          <w:b/>
          <w:sz w:val="24"/>
          <w:szCs w:val="24"/>
        </w:rPr>
      </w:pPr>
    </w:p>
    <w:p w:rsidR="00BF24A0" w:rsidRPr="00F24406" w:rsidRDefault="0031414D" w:rsidP="00F24406">
      <w:pPr>
        <w:spacing w:after="0" w:line="240" w:lineRule="auto"/>
        <w:contextualSpacing/>
        <w:jc w:val="both"/>
        <w:rPr>
          <w:rFonts w:cstheme="minorHAnsi"/>
          <w:sz w:val="24"/>
          <w:szCs w:val="24"/>
        </w:rPr>
      </w:pPr>
      <w:r w:rsidRPr="00F24406">
        <w:rPr>
          <w:rFonts w:cstheme="minorHAnsi"/>
          <w:b/>
          <w:sz w:val="24"/>
          <w:szCs w:val="24"/>
        </w:rPr>
        <w:t>Axel Honneth</w:t>
      </w:r>
      <w:r w:rsidRPr="00F24406">
        <w:rPr>
          <w:rFonts w:cstheme="minorHAnsi"/>
          <w:sz w:val="24"/>
          <w:szCs w:val="24"/>
        </w:rPr>
        <w:t xml:space="preserve"> proviene de la tradición marxista de Frankfurt (Honneth fue profesor en la New </w:t>
      </w:r>
      <w:proofErr w:type="spellStart"/>
      <w:r w:rsidRPr="00F24406">
        <w:rPr>
          <w:rFonts w:cstheme="minorHAnsi"/>
          <w:sz w:val="24"/>
          <w:szCs w:val="24"/>
        </w:rPr>
        <w:t>School</w:t>
      </w:r>
      <w:proofErr w:type="spellEnd"/>
      <w:r w:rsidRPr="00F24406">
        <w:rPr>
          <w:rFonts w:cstheme="minorHAnsi"/>
          <w:sz w:val="24"/>
          <w:szCs w:val="24"/>
        </w:rPr>
        <w:t xml:space="preserve"> </w:t>
      </w:r>
      <w:proofErr w:type="spellStart"/>
      <w:r w:rsidRPr="00F24406">
        <w:rPr>
          <w:rFonts w:cstheme="minorHAnsi"/>
          <w:sz w:val="24"/>
          <w:szCs w:val="24"/>
        </w:rPr>
        <w:t>for</w:t>
      </w:r>
      <w:proofErr w:type="spellEnd"/>
      <w:r w:rsidRPr="00F24406">
        <w:rPr>
          <w:rFonts w:cstheme="minorHAnsi"/>
          <w:sz w:val="24"/>
          <w:szCs w:val="24"/>
        </w:rPr>
        <w:t xml:space="preserve"> Social </w:t>
      </w:r>
      <w:proofErr w:type="spellStart"/>
      <w:r w:rsidRPr="00F24406">
        <w:rPr>
          <w:rFonts w:cstheme="minorHAnsi"/>
          <w:sz w:val="24"/>
          <w:szCs w:val="24"/>
        </w:rPr>
        <w:t>Research</w:t>
      </w:r>
      <w:proofErr w:type="spellEnd"/>
      <w:r w:rsidRPr="00F24406">
        <w:rPr>
          <w:rFonts w:cstheme="minorHAnsi"/>
          <w:sz w:val="24"/>
          <w:szCs w:val="24"/>
        </w:rPr>
        <w:t xml:space="preserve"> en Nueva York y en la Universidad Goethe en Frankfurt). Busca llenar el vacío entre las teorías que atienden al reclamo tradicional de redistribución de recursos por un lado (digamos que el marxismo) y las teorías que atienden a las políticas de la identidad y a los reclamos de “minorías” sexuales y étnicas por otro. </w:t>
      </w:r>
      <w:r w:rsidRPr="00F24406">
        <w:rPr>
          <w:rFonts w:cstheme="minorHAnsi"/>
          <w:b/>
          <w:sz w:val="24"/>
          <w:szCs w:val="24"/>
        </w:rPr>
        <w:t>Nancy Fraser</w:t>
      </w:r>
      <w:r w:rsidRPr="00F24406">
        <w:rPr>
          <w:rFonts w:cstheme="minorHAnsi"/>
          <w:sz w:val="24"/>
          <w:szCs w:val="24"/>
        </w:rPr>
        <w:t xml:space="preserve"> proviene de la tradición marxista de Frankfurt y es profesora en </w:t>
      </w:r>
      <w:proofErr w:type="spellStart"/>
      <w:r w:rsidRPr="00F24406">
        <w:rPr>
          <w:rFonts w:cstheme="minorHAnsi"/>
          <w:sz w:val="24"/>
          <w:szCs w:val="24"/>
        </w:rPr>
        <w:t>The</w:t>
      </w:r>
      <w:proofErr w:type="spellEnd"/>
      <w:r w:rsidRPr="00F24406">
        <w:rPr>
          <w:rFonts w:cstheme="minorHAnsi"/>
          <w:sz w:val="24"/>
          <w:szCs w:val="24"/>
        </w:rPr>
        <w:t xml:space="preserve"> New </w:t>
      </w:r>
      <w:proofErr w:type="spellStart"/>
      <w:r w:rsidRPr="00F24406">
        <w:rPr>
          <w:rFonts w:cstheme="minorHAnsi"/>
          <w:sz w:val="24"/>
          <w:szCs w:val="24"/>
        </w:rPr>
        <w:t>School</w:t>
      </w:r>
      <w:proofErr w:type="spellEnd"/>
      <w:r w:rsidRPr="00F24406">
        <w:rPr>
          <w:rFonts w:cstheme="minorHAnsi"/>
          <w:sz w:val="24"/>
          <w:szCs w:val="24"/>
        </w:rPr>
        <w:t xml:space="preserve"> </w:t>
      </w:r>
      <w:proofErr w:type="spellStart"/>
      <w:r w:rsidRPr="00F24406">
        <w:rPr>
          <w:rFonts w:cstheme="minorHAnsi"/>
          <w:sz w:val="24"/>
          <w:szCs w:val="24"/>
        </w:rPr>
        <w:t>of</w:t>
      </w:r>
      <w:proofErr w:type="spellEnd"/>
      <w:r w:rsidRPr="00F24406">
        <w:rPr>
          <w:rFonts w:cstheme="minorHAnsi"/>
          <w:sz w:val="24"/>
          <w:szCs w:val="24"/>
        </w:rPr>
        <w:t xml:space="preserve"> New York. Dentro de la discusión feminista, Fraser combina la teoría crítica con posestructuralismo para lograr una política del reconocimiento que sea deconstructiva y transformadora. Discute la redistribución del reconocimiento.  El debate </w:t>
      </w:r>
      <w:proofErr w:type="spellStart"/>
      <w:r w:rsidRPr="00F24406">
        <w:rPr>
          <w:rFonts w:cstheme="minorHAnsi"/>
          <w:sz w:val="24"/>
          <w:szCs w:val="24"/>
        </w:rPr>
        <w:t>pos-feminista</w:t>
      </w:r>
      <w:proofErr w:type="spellEnd"/>
      <w:r w:rsidRPr="00F24406">
        <w:rPr>
          <w:rFonts w:cstheme="minorHAnsi"/>
          <w:sz w:val="24"/>
          <w:szCs w:val="24"/>
        </w:rPr>
        <w:t xml:space="preserve"> entre Nancy Fraser y Judith Butler es de lo más interesante con sus aportes orientados a las pretensiones emancipatorias y el cambio social en general.</w:t>
      </w:r>
    </w:p>
    <w:p w:rsidR="00F24406" w:rsidRDefault="00F24406" w:rsidP="00A138FC">
      <w:pPr>
        <w:spacing w:after="0" w:line="240" w:lineRule="auto"/>
        <w:ind w:right="-2"/>
        <w:contextualSpacing/>
        <w:rPr>
          <w:rFonts w:cstheme="minorHAnsi"/>
          <w:b/>
          <w:sz w:val="24"/>
          <w:szCs w:val="24"/>
        </w:rPr>
      </w:pPr>
    </w:p>
    <w:p w:rsidR="00F24406" w:rsidRDefault="00F24406" w:rsidP="00F24406">
      <w:pPr>
        <w:spacing w:after="0" w:line="240" w:lineRule="auto"/>
        <w:ind w:right="-2"/>
        <w:contextualSpacing/>
        <w:jc w:val="center"/>
        <w:rPr>
          <w:rFonts w:cstheme="minorHAnsi"/>
          <w:b/>
          <w:sz w:val="24"/>
          <w:szCs w:val="24"/>
        </w:rPr>
      </w:pPr>
    </w:p>
    <w:p w:rsidR="0031414D" w:rsidRPr="00F24406" w:rsidRDefault="0031414D" w:rsidP="00F24406">
      <w:pPr>
        <w:spacing w:after="0" w:line="240" w:lineRule="auto"/>
        <w:ind w:right="-2"/>
        <w:contextualSpacing/>
        <w:jc w:val="center"/>
        <w:rPr>
          <w:rFonts w:cstheme="minorHAnsi"/>
          <w:b/>
          <w:sz w:val="24"/>
          <w:szCs w:val="24"/>
        </w:rPr>
      </w:pPr>
      <w:r w:rsidRPr="00F24406">
        <w:rPr>
          <w:rFonts w:cstheme="minorHAnsi"/>
          <w:b/>
          <w:sz w:val="24"/>
          <w:szCs w:val="24"/>
        </w:rPr>
        <w:t>MODULO V- LA LICUEFACCIÓN DE LA MODERNIDAD Y LA LUCHA POLÍTICA DE LOS CUERPOS EN EL ESPACIO</w:t>
      </w:r>
    </w:p>
    <w:p w:rsidR="0031414D" w:rsidRPr="00F24406" w:rsidRDefault="0031414D" w:rsidP="00F24406">
      <w:pPr>
        <w:spacing w:after="0" w:line="240" w:lineRule="auto"/>
        <w:ind w:right="-82"/>
        <w:contextualSpacing/>
        <w:jc w:val="center"/>
        <w:rPr>
          <w:rFonts w:cstheme="minorHAnsi"/>
          <w:color w:val="FF0000"/>
          <w:sz w:val="24"/>
          <w:szCs w:val="24"/>
        </w:rPr>
      </w:pPr>
      <w:r w:rsidRPr="00F24406">
        <w:rPr>
          <w:rFonts w:cstheme="minorHAnsi"/>
          <w:noProof/>
          <w:color w:val="FF0000"/>
          <w:sz w:val="24"/>
          <w:szCs w:val="24"/>
          <w:lang w:eastAsia="es-UY"/>
        </w:rPr>
        <w:drawing>
          <wp:inline distT="0" distB="0" distL="0" distR="0" wp14:anchorId="33501C17" wp14:editId="23527965">
            <wp:extent cx="1194435" cy="12553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4435" cy="1255395"/>
                    </a:xfrm>
                    <a:prstGeom prst="rect">
                      <a:avLst/>
                    </a:prstGeom>
                    <a:noFill/>
                    <a:ln>
                      <a:noFill/>
                    </a:ln>
                  </pic:spPr>
                </pic:pic>
              </a:graphicData>
            </a:graphic>
          </wp:inline>
        </w:drawing>
      </w:r>
      <w:r w:rsidRPr="00F24406">
        <w:rPr>
          <w:rFonts w:cstheme="minorHAnsi"/>
          <w:color w:val="FF0000"/>
          <w:sz w:val="24"/>
          <w:szCs w:val="24"/>
        </w:rPr>
        <w:t xml:space="preserve"> </w:t>
      </w:r>
      <w:r w:rsidRPr="00F24406">
        <w:rPr>
          <w:rFonts w:cstheme="minorHAnsi"/>
          <w:sz w:val="24"/>
          <w:szCs w:val="24"/>
        </w:rPr>
        <w:object w:dxaOrig="7140" w:dyaOrig="5265">
          <v:shape id="_x0000_i1026" type="#_x0000_t75" style="width:111.75pt;height:97.5pt" o:ole="">
            <v:imagedata r:id="rId18" o:title=""/>
          </v:shape>
          <o:OLEObject Type="Embed" ProgID="PBrush" ShapeID="_x0000_i1026" DrawAspect="Content" ObjectID="_1622378776" r:id="rId19"/>
        </w:object>
      </w:r>
    </w:p>
    <w:p w:rsidR="0031414D" w:rsidRPr="00F24406" w:rsidRDefault="0031414D" w:rsidP="00F24406">
      <w:pPr>
        <w:spacing w:after="0" w:line="240" w:lineRule="auto"/>
        <w:ind w:right="-82"/>
        <w:contextualSpacing/>
        <w:rPr>
          <w:rFonts w:cstheme="minorHAnsi"/>
          <w:sz w:val="24"/>
          <w:szCs w:val="24"/>
        </w:rPr>
      </w:pPr>
      <w:r w:rsidRPr="00F24406">
        <w:rPr>
          <w:rFonts w:cstheme="minorHAnsi"/>
          <w:sz w:val="24"/>
          <w:szCs w:val="24"/>
        </w:rPr>
        <w:t xml:space="preserve">                                                        Zygmunt Bauman             </w:t>
      </w:r>
      <w:r w:rsidRPr="00F24406">
        <w:rPr>
          <w:rFonts w:cstheme="minorHAnsi"/>
          <w:sz w:val="24"/>
          <w:szCs w:val="24"/>
          <w:shd w:val="clear" w:color="auto" w:fill="FFFFFF"/>
        </w:rPr>
        <w:t>Judith Butler</w:t>
      </w:r>
    </w:p>
    <w:p w:rsidR="00BF24A0" w:rsidRPr="00F24406" w:rsidRDefault="00BF24A0" w:rsidP="00F24406">
      <w:pPr>
        <w:spacing w:after="0" w:line="240" w:lineRule="auto"/>
        <w:contextualSpacing/>
        <w:jc w:val="both"/>
        <w:rPr>
          <w:rFonts w:cstheme="minorHAnsi"/>
          <w:b/>
          <w:sz w:val="24"/>
          <w:szCs w:val="24"/>
        </w:rPr>
      </w:pPr>
    </w:p>
    <w:p w:rsidR="0031414D" w:rsidRPr="00F24406" w:rsidRDefault="0031414D" w:rsidP="00F24406">
      <w:pPr>
        <w:spacing w:after="0" w:line="240" w:lineRule="auto"/>
        <w:contextualSpacing/>
        <w:jc w:val="both"/>
        <w:rPr>
          <w:rFonts w:cstheme="minorHAnsi"/>
          <w:sz w:val="24"/>
          <w:szCs w:val="24"/>
        </w:rPr>
      </w:pPr>
      <w:r w:rsidRPr="00F24406">
        <w:rPr>
          <w:rFonts w:cstheme="minorHAnsi"/>
          <w:b/>
          <w:sz w:val="24"/>
          <w:szCs w:val="24"/>
        </w:rPr>
        <w:t>Zygmunt Bauman</w:t>
      </w:r>
      <w:r w:rsidRPr="00F24406">
        <w:rPr>
          <w:rFonts w:cstheme="minorHAnsi"/>
          <w:sz w:val="24"/>
          <w:szCs w:val="24"/>
        </w:rPr>
        <w:t>,</w:t>
      </w:r>
      <w:r w:rsidRPr="00F24406">
        <w:rPr>
          <w:rFonts w:cstheme="minorHAnsi"/>
          <w:color w:val="FF0000"/>
          <w:sz w:val="24"/>
          <w:szCs w:val="24"/>
        </w:rPr>
        <w:t xml:space="preserve"> </w:t>
      </w:r>
      <w:r w:rsidRPr="00F24406">
        <w:rPr>
          <w:rFonts w:cstheme="minorHAnsi"/>
          <w:sz w:val="24"/>
          <w:szCs w:val="24"/>
        </w:rPr>
        <w:t xml:space="preserve">profesor emérito de la universidad inglesa de Leeds, fue a menudo considerado un posmodernista, pero hacia fines de los 80s prefirió distinguir entre “modernidad sólida” (sentido de pertenencia) y “modernidad líquida” (movilidad, relativismo, incertidumbres). Cuando las identidades propias son miradas por sujetos reflexivos, se hace evidente su fragilidad o –mejor– su maleabilidad. Apunta a las tensiones del ciudadano-consumidor al decir que en nuestras sociedades hedonistas los ricos son objeto de adoración y quienes no acceden a los estándares del consumo “normal” son nuevos pobres. Con la metáfora del “archipiélago” destaca espacios que escapan a la soberanía estatal tradicional (campos de refugiados, barrios de inmigrantes, trabajadores en seguro de paro que son una </w:t>
      </w:r>
      <w:r w:rsidRPr="00F24406">
        <w:rPr>
          <w:rFonts w:cstheme="minorHAnsi"/>
          <w:sz w:val="24"/>
          <w:szCs w:val="24"/>
        </w:rPr>
        <w:lastRenderedPageBreak/>
        <w:t xml:space="preserve">excepción permanente). Si la población humana residual crece más rápido que la capacidad de gestionarla, dice que es posible que la modernidad se ahogue en sus propios productos de desecho: desde fines de los 90s tiene gran influencia sobre el movimiento altermundista (nombre por el slogan del Foro Social Mundial “otro mundo es posible”). </w:t>
      </w:r>
      <w:r w:rsidRPr="00F24406">
        <w:rPr>
          <w:rFonts w:cstheme="minorHAnsi"/>
          <w:b/>
          <w:sz w:val="24"/>
          <w:szCs w:val="24"/>
          <w:shd w:val="clear" w:color="auto" w:fill="FFFFFF"/>
        </w:rPr>
        <w:t>Judith Butler</w:t>
      </w:r>
      <w:r w:rsidRPr="00F24406">
        <w:rPr>
          <w:rFonts w:cstheme="minorHAnsi"/>
          <w:sz w:val="24"/>
          <w:szCs w:val="24"/>
          <w:shd w:val="clear" w:color="auto" w:fill="FFFFFF"/>
        </w:rPr>
        <w:t xml:space="preserve"> es profesora de Filosofía en los Departamentos de Retórica y de Literatura Comparada en la Universidad de California, Berkeley. Ha r</w:t>
      </w:r>
      <w:r w:rsidRPr="00F24406">
        <w:rPr>
          <w:rFonts w:cstheme="minorHAnsi"/>
          <w:sz w:val="24"/>
          <w:szCs w:val="24"/>
        </w:rPr>
        <w:t xml:space="preserve">ealizado importantes aportes en el campo del feminismo, la Teoría </w:t>
      </w:r>
      <w:proofErr w:type="spellStart"/>
      <w:r w:rsidRPr="00F24406">
        <w:rPr>
          <w:rFonts w:cstheme="minorHAnsi"/>
          <w:sz w:val="24"/>
          <w:szCs w:val="24"/>
        </w:rPr>
        <w:t>Queer</w:t>
      </w:r>
      <w:proofErr w:type="spellEnd"/>
      <w:r w:rsidRPr="00F24406">
        <w:rPr>
          <w:rFonts w:cstheme="minorHAnsi"/>
          <w:sz w:val="24"/>
          <w:szCs w:val="24"/>
        </w:rPr>
        <w:t xml:space="preserve">, la filosofía política y la ética. Butler piensa que cualquier “unidad ortodoxa” para enfrentar el capitalismo sigue descansando en la exclusión o, al menos, en la subordinación de las diferencias. La falta de reconocimiento es tan material como la de recursos y una unidad no ortodoxa debería lograr expresar todos los enfrentamientos identitarios en las instituciones y prácticas sociales. </w:t>
      </w:r>
    </w:p>
    <w:p w:rsidR="0031414D" w:rsidRDefault="0031414D" w:rsidP="00F24406">
      <w:pPr>
        <w:spacing w:after="0" w:line="240" w:lineRule="auto"/>
        <w:contextualSpacing/>
        <w:jc w:val="both"/>
        <w:rPr>
          <w:rFonts w:cstheme="minorHAnsi"/>
          <w:color w:val="FF0000"/>
          <w:sz w:val="24"/>
          <w:szCs w:val="24"/>
        </w:rPr>
      </w:pPr>
    </w:p>
    <w:p w:rsidR="00F24406" w:rsidRPr="00F24406" w:rsidRDefault="00F24406" w:rsidP="00F24406">
      <w:pPr>
        <w:spacing w:after="0" w:line="240" w:lineRule="auto"/>
        <w:contextualSpacing/>
        <w:jc w:val="both"/>
        <w:rPr>
          <w:rFonts w:cstheme="minorHAnsi"/>
          <w:color w:val="FF0000"/>
          <w:sz w:val="24"/>
          <w:szCs w:val="24"/>
        </w:rPr>
      </w:pPr>
    </w:p>
    <w:p w:rsidR="0031414D" w:rsidRPr="00F24406" w:rsidRDefault="0031414D" w:rsidP="00F24406">
      <w:pPr>
        <w:spacing w:after="0" w:line="240" w:lineRule="auto"/>
        <w:ind w:right="-2"/>
        <w:contextualSpacing/>
        <w:jc w:val="center"/>
        <w:rPr>
          <w:rFonts w:cstheme="minorHAnsi"/>
          <w:color w:val="FF0000"/>
          <w:sz w:val="24"/>
          <w:szCs w:val="24"/>
        </w:rPr>
      </w:pPr>
      <w:r w:rsidRPr="00F24406">
        <w:rPr>
          <w:rFonts w:cstheme="minorHAnsi"/>
          <w:b/>
          <w:sz w:val="24"/>
          <w:szCs w:val="24"/>
          <w:lang w:val="es-ES"/>
        </w:rPr>
        <w:t xml:space="preserve">MÓDULO VI- </w:t>
      </w:r>
      <w:r w:rsidRPr="00F24406">
        <w:rPr>
          <w:rFonts w:cstheme="minorHAnsi"/>
          <w:b/>
          <w:sz w:val="24"/>
          <w:szCs w:val="24"/>
        </w:rPr>
        <w:t>EL PENSAMIENTO POSCOLONIALISTA DE LAS EX COLONIAS FRANCO-BRITÁNICAS.</w:t>
      </w:r>
    </w:p>
    <w:p w:rsidR="0031414D" w:rsidRPr="00F24406" w:rsidRDefault="0031414D" w:rsidP="00F24406">
      <w:pPr>
        <w:spacing w:after="0" w:line="240" w:lineRule="auto"/>
        <w:ind w:right="-82"/>
        <w:contextualSpacing/>
        <w:rPr>
          <w:rFonts w:cstheme="minorHAnsi"/>
          <w:color w:val="FF0000"/>
          <w:sz w:val="24"/>
          <w:szCs w:val="24"/>
          <w:lang w:val="en-US"/>
        </w:rPr>
      </w:pPr>
      <w:r w:rsidRPr="00635017">
        <w:rPr>
          <w:rFonts w:cstheme="minorHAnsi"/>
          <w:noProof/>
          <w:color w:val="FF0000"/>
          <w:sz w:val="24"/>
          <w:szCs w:val="24"/>
        </w:rPr>
        <w:t xml:space="preserve">                  </w:t>
      </w:r>
      <w:r w:rsidRPr="00F24406">
        <w:rPr>
          <w:rFonts w:cstheme="minorHAnsi"/>
          <w:noProof/>
          <w:color w:val="FF0000"/>
          <w:sz w:val="24"/>
          <w:szCs w:val="24"/>
          <w:lang w:eastAsia="es-UY"/>
        </w:rPr>
        <w:drawing>
          <wp:inline distT="0" distB="0" distL="0" distR="0" wp14:anchorId="2E07E5C5" wp14:editId="00067463">
            <wp:extent cx="1448189" cy="1504950"/>
            <wp:effectExtent l="0" t="0" r="0" b="0"/>
            <wp:docPr id="12" name="Imagen 20" descr="Bhab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Bhabha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1225" cy="1518496"/>
                    </a:xfrm>
                    <a:prstGeom prst="rect">
                      <a:avLst/>
                    </a:prstGeom>
                    <a:noFill/>
                    <a:ln>
                      <a:noFill/>
                    </a:ln>
                  </pic:spPr>
                </pic:pic>
              </a:graphicData>
            </a:graphic>
          </wp:inline>
        </w:drawing>
      </w:r>
      <w:r w:rsidRPr="00F24406">
        <w:rPr>
          <w:rFonts w:cstheme="minorHAnsi"/>
          <w:color w:val="FF0000"/>
          <w:sz w:val="24"/>
          <w:szCs w:val="24"/>
          <w:lang w:val="en-US"/>
        </w:rPr>
        <w:t xml:space="preserve">  </w:t>
      </w:r>
      <w:r w:rsidRPr="00F24406">
        <w:rPr>
          <w:rFonts w:cstheme="minorHAnsi"/>
          <w:noProof/>
          <w:color w:val="FF0000"/>
          <w:sz w:val="24"/>
          <w:szCs w:val="24"/>
          <w:lang w:eastAsia="es-UY"/>
        </w:rPr>
        <w:drawing>
          <wp:inline distT="0" distB="0" distL="0" distR="0" wp14:anchorId="12ABA7D3" wp14:editId="5E52036C">
            <wp:extent cx="1316355" cy="1509920"/>
            <wp:effectExtent l="0" t="0" r="0" b="0"/>
            <wp:docPr id="1" name="Imagen 13" descr="Partha Chatterj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ha Chatterj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6853" cy="1521962"/>
                    </a:xfrm>
                    <a:prstGeom prst="rect">
                      <a:avLst/>
                    </a:prstGeom>
                    <a:noFill/>
                    <a:ln>
                      <a:noFill/>
                    </a:ln>
                  </pic:spPr>
                </pic:pic>
              </a:graphicData>
            </a:graphic>
          </wp:inline>
        </w:drawing>
      </w:r>
      <w:r w:rsidRPr="00F24406">
        <w:rPr>
          <w:rFonts w:cstheme="minorHAnsi"/>
          <w:color w:val="FF0000"/>
          <w:sz w:val="24"/>
          <w:szCs w:val="24"/>
          <w:lang w:val="en-US"/>
        </w:rPr>
        <w:t xml:space="preserve">        </w:t>
      </w:r>
      <w:r w:rsidR="00BF24A0" w:rsidRPr="00F24406">
        <w:rPr>
          <w:rFonts w:cstheme="minorHAnsi"/>
          <w:sz w:val="24"/>
          <w:szCs w:val="24"/>
        </w:rPr>
        <w:object w:dxaOrig="9015" w:dyaOrig="5190">
          <v:shape id="_x0000_i1027" type="#_x0000_t75" style="width:152.25pt;height:117.75pt" o:ole="">
            <v:imagedata r:id="rId22" o:title=""/>
          </v:shape>
          <o:OLEObject Type="Embed" ProgID="PBrush" ShapeID="_x0000_i1027" DrawAspect="Content" ObjectID="_1622378777" r:id="rId23"/>
        </w:object>
      </w:r>
    </w:p>
    <w:p w:rsidR="0031414D" w:rsidRPr="00F24406" w:rsidRDefault="0031414D" w:rsidP="00F24406">
      <w:pPr>
        <w:spacing w:after="0" w:line="240" w:lineRule="auto"/>
        <w:ind w:right="-82"/>
        <w:contextualSpacing/>
        <w:jc w:val="both"/>
        <w:rPr>
          <w:rFonts w:cstheme="minorHAnsi"/>
          <w:sz w:val="24"/>
          <w:szCs w:val="24"/>
          <w:lang w:val="en-US"/>
        </w:rPr>
      </w:pPr>
      <w:r w:rsidRPr="00F24406">
        <w:rPr>
          <w:rFonts w:cstheme="minorHAnsi"/>
          <w:b/>
          <w:bCs/>
          <w:color w:val="FF0000"/>
          <w:sz w:val="24"/>
          <w:szCs w:val="24"/>
          <w:lang w:val="en-US"/>
        </w:rPr>
        <w:t xml:space="preserve">                         </w:t>
      </w:r>
      <w:r w:rsidRPr="00F24406">
        <w:rPr>
          <w:rFonts w:cstheme="minorHAnsi"/>
          <w:b/>
          <w:bCs/>
          <w:sz w:val="24"/>
          <w:szCs w:val="24"/>
          <w:lang w:val="en-US"/>
        </w:rPr>
        <w:t xml:space="preserve"> </w:t>
      </w:r>
      <w:proofErr w:type="spellStart"/>
      <w:r w:rsidRPr="00F24406">
        <w:rPr>
          <w:rFonts w:cstheme="minorHAnsi"/>
          <w:sz w:val="24"/>
          <w:szCs w:val="24"/>
          <w:lang w:val="en-US"/>
        </w:rPr>
        <w:t>Homi</w:t>
      </w:r>
      <w:proofErr w:type="spellEnd"/>
      <w:r w:rsidRPr="00F24406">
        <w:rPr>
          <w:rFonts w:cstheme="minorHAnsi"/>
          <w:sz w:val="24"/>
          <w:szCs w:val="24"/>
          <w:lang w:val="en-US"/>
        </w:rPr>
        <w:t xml:space="preserve"> Bhabha                      </w:t>
      </w:r>
      <w:proofErr w:type="spellStart"/>
      <w:r w:rsidRPr="00F24406">
        <w:rPr>
          <w:rFonts w:cstheme="minorHAnsi"/>
          <w:sz w:val="24"/>
          <w:szCs w:val="24"/>
          <w:lang w:val="en-US"/>
        </w:rPr>
        <w:t>Partha</w:t>
      </w:r>
      <w:proofErr w:type="spellEnd"/>
      <w:r w:rsidRPr="00F24406">
        <w:rPr>
          <w:rFonts w:cstheme="minorHAnsi"/>
          <w:sz w:val="24"/>
          <w:szCs w:val="24"/>
          <w:lang w:val="en-US"/>
        </w:rPr>
        <w:t xml:space="preserve"> Chatterjee                            </w:t>
      </w:r>
      <w:r w:rsidRPr="00F24406">
        <w:rPr>
          <w:rFonts w:cstheme="minorHAnsi"/>
          <w:sz w:val="24"/>
          <w:szCs w:val="24"/>
          <w:shd w:val="clear" w:color="auto" w:fill="FFFFFF"/>
          <w:lang w:val="en-US"/>
        </w:rPr>
        <w:t>Gayatri Spivak</w:t>
      </w:r>
    </w:p>
    <w:p w:rsidR="00F24406" w:rsidRPr="00635017" w:rsidRDefault="00F24406" w:rsidP="00F24406">
      <w:pPr>
        <w:spacing w:after="0" w:line="240" w:lineRule="auto"/>
        <w:ind w:right="-82"/>
        <w:contextualSpacing/>
        <w:jc w:val="both"/>
        <w:rPr>
          <w:rFonts w:cstheme="minorHAnsi"/>
          <w:sz w:val="24"/>
          <w:szCs w:val="24"/>
          <w:lang w:val="en-US"/>
        </w:rPr>
      </w:pPr>
    </w:p>
    <w:p w:rsidR="0031414D" w:rsidRPr="00F24406" w:rsidRDefault="0031414D" w:rsidP="00F24406">
      <w:pPr>
        <w:spacing w:after="0" w:line="240" w:lineRule="auto"/>
        <w:ind w:right="-82"/>
        <w:contextualSpacing/>
        <w:jc w:val="both"/>
        <w:rPr>
          <w:rFonts w:cstheme="minorHAnsi"/>
          <w:sz w:val="24"/>
          <w:szCs w:val="24"/>
        </w:rPr>
      </w:pPr>
      <w:r w:rsidRPr="00F24406">
        <w:rPr>
          <w:rFonts w:cstheme="minorHAnsi"/>
          <w:sz w:val="24"/>
          <w:szCs w:val="24"/>
        </w:rPr>
        <w:t xml:space="preserve">A menudo el término “poscolonialismo” se malentiende como un período cronológico, indicando la actual independencia de las ex colonias. Pero en este uso, el término indica un compromiso con la deconstrucción del discurso colonialista, sus estructuras de poder y sus jerarquías sociales. Desarrollado por intelectuales de la diáspora proveniente de las ex colonias francesas y británicas, el poscolonialismo destacó la dificultad para ensamblar una identidad cultural luego del colonialismo. </w:t>
      </w:r>
      <w:proofErr w:type="spellStart"/>
      <w:r w:rsidRPr="00F24406">
        <w:rPr>
          <w:rFonts w:cstheme="minorHAnsi"/>
          <w:b/>
          <w:sz w:val="24"/>
          <w:szCs w:val="24"/>
        </w:rPr>
        <w:t>Bhabha</w:t>
      </w:r>
      <w:proofErr w:type="spellEnd"/>
      <w:r w:rsidRPr="00F24406">
        <w:rPr>
          <w:rFonts w:cstheme="minorHAnsi"/>
          <w:sz w:val="24"/>
          <w:szCs w:val="24"/>
        </w:rPr>
        <w:t xml:space="preserve"> consideró que la misión de “civilizar” que las metrópolis asumieron se justificó en base a ideas que su misma práctica negó. La legitimidad colonial remite sus prácticas cotidianas al silencio y el colonizado es visto como primitivo o pagano: en la lucha contra este silencio es que nace el “significante colonial”. Su análisis debe ser bidireccional y la resistencia no debe limitarse a la </w:t>
      </w:r>
      <w:proofErr w:type="spellStart"/>
      <w:r w:rsidRPr="00F24406">
        <w:rPr>
          <w:rFonts w:cstheme="minorHAnsi"/>
          <w:sz w:val="24"/>
          <w:szCs w:val="24"/>
        </w:rPr>
        <w:t>contrarrepresentación</w:t>
      </w:r>
      <w:proofErr w:type="spellEnd"/>
      <w:r w:rsidRPr="00F24406">
        <w:rPr>
          <w:rFonts w:cstheme="minorHAnsi"/>
          <w:sz w:val="24"/>
          <w:szCs w:val="24"/>
        </w:rPr>
        <w:t xml:space="preserve"> de idearios</w:t>
      </w:r>
      <w:r w:rsidR="00BF24A0" w:rsidRPr="00F24406">
        <w:rPr>
          <w:rFonts w:cstheme="minorHAnsi"/>
          <w:sz w:val="24"/>
          <w:szCs w:val="24"/>
        </w:rPr>
        <w:t xml:space="preserve"> </w:t>
      </w:r>
      <w:r w:rsidRPr="00F24406">
        <w:rPr>
          <w:rFonts w:cstheme="minorHAnsi"/>
          <w:sz w:val="24"/>
          <w:szCs w:val="24"/>
        </w:rPr>
        <w:t>nacionalistas</w:t>
      </w:r>
      <w:r w:rsidR="00BF24A0" w:rsidRPr="00F24406">
        <w:rPr>
          <w:rFonts w:cstheme="minorHAnsi"/>
          <w:sz w:val="24"/>
          <w:szCs w:val="24"/>
        </w:rPr>
        <w:t>,</w:t>
      </w:r>
      <w:r w:rsidRPr="00F24406">
        <w:rPr>
          <w:rFonts w:cstheme="minorHAnsi"/>
          <w:sz w:val="24"/>
          <w:szCs w:val="24"/>
        </w:rPr>
        <w:t xml:space="preserve"> sino que debe perseguirse en la impureza de la hibridación, en el contacto con el otro y en el desplazamiento de la autoridad. </w:t>
      </w:r>
      <w:r w:rsidRPr="00F24406">
        <w:rPr>
          <w:rFonts w:cstheme="minorHAnsi"/>
          <w:b/>
          <w:sz w:val="24"/>
          <w:szCs w:val="24"/>
        </w:rPr>
        <w:t>Chatterjee</w:t>
      </w:r>
      <w:r w:rsidRPr="00F24406">
        <w:rPr>
          <w:rFonts w:cstheme="minorHAnsi"/>
          <w:sz w:val="24"/>
          <w:szCs w:val="24"/>
        </w:rPr>
        <w:t xml:space="preserve"> lidera los “estudios subalternos”, repensando las nociones de “nación” y “sociedad civil” y atendiendo a las nuevas formas de política popular. En este módulo del curso se problematiza el discurso colonial (ambivalencia, estereotipo, hibridación y mimetismo) y el </w:t>
      </w:r>
      <w:proofErr w:type="spellStart"/>
      <w:r w:rsidRPr="00F24406">
        <w:rPr>
          <w:rFonts w:cstheme="minorHAnsi"/>
          <w:sz w:val="24"/>
          <w:szCs w:val="24"/>
        </w:rPr>
        <w:t>asimilacionismo</w:t>
      </w:r>
      <w:proofErr w:type="spellEnd"/>
      <w:r w:rsidRPr="00F24406">
        <w:rPr>
          <w:rFonts w:cstheme="minorHAnsi"/>
          <w:sz w:val="24"/>
          <w:szCs w:val="24"/>
        </w:rPr>
        <w:t xml:space="preserve"> cultural y la resistencia textual de grupos de poblaciones y sociedades políticas.</w:t>
      </w:r>
    </w:p>
    <w:p w:rsidR="007C4FEA" w:rsidRDefault="007C4FEA" w:rsidP="00F24406">
      <w:pPr>
        <w:spacing w:after="0" w:line="240" w:lineRule="auto"/>
        <w:ind w:right="-82"/>
        <w:contextualSpacing/>
        <w:jc w:val="both"/>
        <w:rPr>
          <w:rFonts w:cstheme="minorHAnsi"/>
          <w:sz w:val="24"/>
          <w:szCs w:val="24"/>
        </w:rPr>
      </w:pPr>
    </w:p>
    <w:p w:rsidR="007C4FEA" w:rsidRDefault="007C4FEA" w:rsidP="00F24406">
      <w:pPr>
        <w:spacing w:after="0" w:line="240" w:lineRule="auto"/>
        <w:ind w:right="-82"/>
        <w:contextualSpacing/>
        <w:jc w:val="both"/>
        <w:rPr>
          <w:rFonts w:cstheme="minorHAnsi"/>
          <w:sz w:val="24"/>
          <w:szCs w:val="24"/>
        </w:rPr>
      </w:pPr>
    </w:p>
    <w:p w:rsidR="007C4FEA" w:rsidRDefault="007C4FEA" w:rsidP="00F24406">
      <w:pPr>
        <w:spacing w:after="0" w:line="240" w:lineRule="auto"/>
        <w:ind w:right="-82"/>
        <w:contextualSpacing/>
        <w:jc w:val="both"/>
        <w:rPr>
          <w:rFonts w:cstheme="minorHAnsi"/>
          <w:sz w:val="24"/>
          <w:szCs w:val="24"/>
        </w:rPr>
      </w:pPr>
    </w:p>
    <w:p w:rsidR="007C4FEA" w:rsidRDefault="007C4FEA" w:rsidP="00F24406">
      <w:pPr>
        <w:spacing w:after="0" w:line="240" w:lineRule="auto"/>
        <w:ind w:right="-82"/>
        <w:contextualSpacing/>
        <w:jc w:val="both"/>
        <w:rPr>
          <w:rFonts w:cstheme="minorHAnsi"/>
          <w:sz w:val="24"/>
          <w:szCs w:val="24"/>
        </w:rPr>
      </w:pPr>
    </w:p>
    <w:p w:rsidR="007C4FEA" w:rsidRDefault="007C4FEA" w:rsidP="00F24406">
      <w:pPr>
        <w:spacing w:after="0" w:line="240" w:lineRule="auto"/>
        <w:ind w:right="-82"/>
        <w:contextualSpacing/>
        <w:jc w:val="both"/>
        <w:rPr>
          <w:rFonts w:cstheme="minorHAnsi"/>
          <w:sz w:val="24"/>
          <w:szCs w:val="24"/>
        </w:rPr>
      </w:pPr>
    </w:p>
    <w:p w:rsidR="00F24406" w:rsidRPr="00F24406" w:rsidRDefault="00F24406" w:rsidP="00F24406">
      <w:pPr>
        <w:spacing w:after="0" w:line="240" w:lineRule="auto"/>
        <w:ind w:right="-82"/>
        <w:contextualSpacing/>
        <w:jc w:val="both"/>
        <w:rPr>
          <w:rFonts w:cstheme="minorHAnsi"/>
          <w:sz w:val="24"/>
          <w:szCs w:val="24"/>
        </w:rPr>
      </w:pPr>
    </w:p>
    <w:p w:rsidR="0031414D" w:rsidRPr="00F24406" w:rsidRDefault="0031414D" w:rsidP="00F24406">
      <w:pPr>
        <w:spacing w:after="0" w:line="240" w:lineRule="auto"/>
        <w:ind w:right="-2"/>
        <w:contextualSpacing/>
        <w:jc w:val="center"/>
        <w:rPr>
          <w:rFonts w:cstheme="minorHAnsi"/>
          <w:b/>
          <w:sz w:val="24"/>
          <w:szCs w:val="24"/>
        </w:rPr>
      </w:pPr>
      <w:r w:rsidRPr="00F24406">
        <w:rPr>
          <w:rFonts w:cstheme="minorHAnsi"/>
          <w:b/>
          <w:sz w:val="24"/>
          <w:szCs w:val="24"/>
        </w:rPr>
        <w:lastRenderedPageBreak/>
        <w:t xml:space="preserve">MODULO VII- TEORÍAS Y DISCUSIONES LATINOAMERICANAS SOBRE DESCOLONIALIDAD: </w:t>
      </w:r>
    </w:p>
    <w:p w:rsidR="0031414D" w:rsidRPr="00F24406" w:rsidRDefault="0031414D" w:rsidP="00F24406">
      <w:pPr>
        <w:spacing w:after="0" w:line="240" w:lineRule="auto"/>
        <w:ind w:right="-82"/>
        <w:contextualSpacing/>
        <w:jc w:val="center"/>
        <w:rPr>
          <w:rFonts w:cstheme="minorHAnsi"/>
          <w:b/>
          <w:bCs/>
          <w:color w:val="FF0000"/>
          <w:sz w:val="24"/>
          <w:szCs w:val="24"/>
        </w:rPr>
      </w:pPr>
      <w:r w:rsidRPr="00F24406">
        <w:rPr>
          <w:rFonts w:cstheme="minorHAnsi"/>
          <w:sz w:val="24"/>
          <w:szCs w:val="24"/>
        </w:rPr>
        <w:object w:dxaOrig="2235" w:dyaOrig="2100">
          <v:shape id="_x0000_i1028" type="#_x0000_t75" style="width:112.5pt;height:122.25pt" o:ole="">
            <v:imagedata r:id="rId24" o:title=""/>
          </v:shape>
          <o:OLEObject Type="Embed" ProgID="PBrush" ShapeID="_x0000_i1028" DrawAspect="Content" ObjectID="_1622378778" r:id="rId25"/>
        </w:object>
      </w:r>
      <w:r w:rsidRPr="00F24406">
        <w:rPr>
          <w:rFonts w:cstheme="minorHAnsi"/>
          <w:noProof/>
          <w:color w:val="FF0000"/>
          <w:sz w:val="24"/>
          <w:szCs w:val="24"/>
          <w:lang w:eastAsia="es-UY"/>
        </w:rPr>
        <w:drawing>
          <wp:inline distT="0" distB="0" distL="0" distR="0" wp14:anchorId="0B5A2F75" wp14:editId="1DDB4804">
            <wp:extent cx="1952625" cy="1561273"/>
            <wp:effectExtent l="19050" t="0" r="9525"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046" cy="1560810"/>
                    </a:xfrm>
                    <a:prstGeom prst="rect">
                      <a:avLst/>
                    </a:prstGeom>
                    <a:noFill/>
                    <a:ln>
                      <a:noFill/>
                    </a:ln>
                  </pic:spPr>
                </pic:pic>
              </a:graphicData>
            </a:graphic>
          </wp:inline>
        </w:drawing>
      </w:r>
      <w:r w:rsidRPr="00F24406">
        <w:rPr>
          <w:rFonts w:cstheme="minorHAnsi"/>
          <w:sz w:val="24"/>
          <w:szCs w:val="24"/>
        </w:rPr>
        <w:t xml:space="preserve"> </w:t>
      </w:r>
      <w:r w:rsidRPr="00F24406">
        <w:rPr>
          <w:rFonts w:cstheme="minorHAnsi"/>
          <w:sz w:val="24"/>
          <w:szCs w:val="24"/>
        </w:rPr>
        <w:object w:dxaOrig="6465" w:dyaOrig="5235">
          <v:shape id="_x0000_i1029" type="#_x0000_t75" style="width:173.25pt;height:123.75pt" o:ole="">
            <v:imagedata r:id="rId27" o:title=""/>
          </v:shape>
          <o:OLEObject Type="Embed" ProgID="PBrush" ShapeID="_x0000_i1029" DrawAspect="Content" ObjectID="_1622378779" r:id="rId28"/>
        </w:object>
      </w:r>
    </w:p>
    <w:p w:rsidR="0031414D" w:rsidRPr="00F24406" w:rsidRDefault="0031414D" w:rsidP="00F24406">
      <w:pPr>
        <w:spacing w:after="0" w:line="240" w:lineRule="auto"/>
        <w:ind w:right="-82"/>
        <w:contextualSpacing/>
        <w:jc w:val="both"/>
        <w:rPr>
          <w:rFonts w:cstheme="minorHAnsi"/>
          <w:sz w:val="24"/>
          <w:szCs w:val="24"/>
        </w:rPr>
      </w:pPr>
      <w:r w:rsidRPr="00F24406">
        <w:rPr>
          <w:rFonts w:cstheme="minorHAnsi"/>
          <w:color w:val="FF0000"/>
          <w:sz w:val="24"/>
          <w:szCs w:val="24"/>
        </w:rPr>
        <w:t xml:space="preserve">          </w:t>
      </w:r>
      <w:r w:rsidRPr="00F24406">
        <w:rPr>
          <w:rFonts w:cstheme="minorHAnsi"/>
          <w:sz w:val="24"/>
          <w:szCs w:val="24"/>
        </w:rPr>
        <w:t xml:space="preserve">Walter </w:t>
      </w:r>
      <w:proofErr w:type="spellStart"/>
      <w:r w:rsidRPr="00F24406">
        <w:rPr>
          <w:rFonts w:cstheme="minorHAnsi"/>
          <w:sz w:val="24"/>
          <w:szCs w:val="24"/>
        </w:rPr>
        <w:t>Mignolo</w:t>
      </w:r>
      <w:proofErr w:type="spellEnd"/>
      <w:r w:rsidRPr="00F24406">
        <w:rPr>
          <w:rFonts w:cstheme="minorHAnsi"/>
          <w:sz w:val="24"/>
          <w:szCs w:val="24"/>
        </w:rPr>
        <w:t xml:space="preserve">                     Edgardo Lander     </w:t>
      </w:r>
      <w:r w:rsidR="00F24406">
        <w:rPr>
          <w:rFonts w:cstheme="minorHAnsi"/>
          <w:sz w:val="24"/>
          <w:szCs w:val="24"/>
        </w:rPr>
        <w:t xml:space="preserve">    </w:t>
      </w:r>
      <w:r w:rsidRPr="00F24406">
        <w:rPr>
          <w:rFonts w:cstheme="minorHAnsi"/>
          <w:sz w:val="24"/>
          <w:szCs w:val="24"/>
        </w:rPr>
        <w:t xml:space="preserve">                    Álvaro García Linera</w:t>
      </w:r>
    </w:p>
    <w:p w:rsidR="00BF24A0" w:rsidRPr="00F24406" w:rsidRDefault="00BF24A0" w:rsidP="00F24406">
      <w:pPr>
        <w:pStyle w:val="Prrafodelista"/>
        <w:spacing w:after="0" w:line="240" w:lineRule="auto"/>
        <w:ind w:left="567"/>
        <w:jc w:val="both"/>
        <w:rPr>
          <w:rFonts w:cstheme="minorHAnsi"/>
          <w:sz w:val="24"/>
          <w:szCs w:val="24"/>
        </w:rPr>
      </w:pPr>
    </w:p>
    <w:p w:rsidR="0031414D" w:rsidRPr="00F24406" w:rsidRDefault="0031414D" w:rsidP="00F24406">
      <w:pPr>
        <w:pStyle w:val="Prrafodelista"/>
        <w:spacing w:after="0" w:line="240" w:lineRule="auto"/>
        <w:ind w:left="0"/>
        <w:jc w:val="both"/>
        <w:rPr>
          <w:rFonts w:cstheme="minorHAnsi"/>
          <w:b/>
          <w:bCs/>
          <w:sz w:val="24"/>
          <w:szCs w:val="24"/>
        </w:rPr>
      </w:pPr>
      <w:r w:rsidRPr="00F24406">
        <w:rPr>
          <w:rFonts w:cstheme="minorHAnsi"/>
          <w:sz w:val="24"/>
          <w:szCs w:val="24"/>
        </w:rPr>
        <w:t>Así como América Latina sufrió la formación del capitalismo colonial/moderno, en tiempos recientes podría ser un centro de producción de alternativas contra este patrón de poder, generando nuevas formas de existencia liberadas de dominación y de discriminación racista/étnica/sexista. Para varios intelectuales latinoamericanos, el término “descolonialidad” es más adecuado que “poscolonialismo”</w:t>
      </w:r>
      <w:r w:rsidRPr="00F24406">
        <w:rPr>
          <w:rStyle w:val="Refdenotaalpie"/>
          <w:rFonts w:cstheme="minorHAnsi"/>
          <w:sz w:val="24"/>
          <w:szCs w:val="24"/>
        </w:rPr>
        <w:footnoteReference w:id="6"/>
      </w:r>
      <w:r w:rsidRPr="00F24406">
        <w:rPr>
          <w:rFonts w:cstheme="minorHAnsi"/>
          <w:sz w:val="24"/>
          <w:szCs w:val="24"/>
        </w:rPr>
        <w:t xml:space="preserve">, relanzando y </w:t>
      </w:r>
      <w:proofErr w:type="spellStart"/>
      <w:r w:rsidRPr="00F24406">
        <w:rPr>
          <w:rFonts w:cstheme="minorHAnsi"/>
          <w:sz w:val="24"/>
          <w:szCs w:val="24"/>
        </w:rPr>
        <w:t>recomunicando</w:t>
      </w:r>
      <w:proofErr w:type="spellEnd"/>
      <w:r w:rsidRPr="00F24406">
        <w:rPr>
          <w:rFonts w:cstheme="minorHAnsi"/>
          <w:sz w:val="24"/>
          <w:szCs w:val="24"/>
        </w:rPr>
        <w:t xml:space="preserve"> aportes de la teoría de la dependencia, del análisis del sistema-mundo, del marxismo contemporáneo y de los propios estudios “</w:t>
      </w:r>
      <w:proofErr w:type="spellStart"/>
      <w:r w:rsidRPr="00F24406">
        <w:rPr>
          <w:rFonts w:cstheme="minorHAnsi"/>
          <w:sz w:val="24"/>
          <w:szCs w:val="24"/>
        </w:rPr>
        <w:t>pos</w:t>
      </w:r>
      <w:proofErr w:type="spellEnd"/>
      <w:r w:rsidRPr="00F24406">
        <w:rPr>
          <w:rFonts w:cstheme="minorHAnsi"/>
          <w:sz w:val="24"/>
          <w:szCs w:val="24"/>
        </w:rPr>
        <w:t xml:space="preserve">”-coloniales. Para </w:t>
      </w:r>
      <w:r w:rsidRPr="00F24406">
        <w:rPr>
          <w:rFonts w:cstheme="minorHAnsi"/>
          <w:b/>
          <w:sz w:val="24"/>
          <w:szCs w:val="24"/>
        </w:rPr>
        <w:t xml:space="preserve">Walter </w:t>
      </w:r>
      <w:proofErr w:type="spellStart"/>
      <w:r w:rsidRPr="00F24406">
        <w:rPr>
          <w:rFonts w:cstheme="minorHAnsi"/>
          <w:b/>
          <w:sz w:val="24"/>
          <w:szCs w:val="24"/>
        </w:rPr>
        <w:t>Mignolo</w:t>
      </w:r>
      <w:proofErr w:type="spellEnd"/>
      <w:r w:rsidRPr="00F24406">
        <w:rPr>
          <w:rFonts w:cstheme="minorHAnsi"/>
          <w:sz w:val="24"/>
          <w:szCs w:val="24"/>
        </w:rPr>
        <w:t xml:space="preserve"> (semiólogo argentino y profesor en Duke, Carolina del norte) “mientras la producción literaria puede ser fácilmente atribuida a la producción cultural del Tercer Mundo, la teoría es más difícil de justificar porque […] el locus de la producción teórica es del Primero más que del Tercer Mundo.” (1996: 13) Plantea así el racismo vigente en la epistemología y la geo-</w:t>
      </w:r>
      <w:proofErr w:type="spellStart"/>
      <w:r w:rsidRPr="00F24406">
        <w:rPr>
          <w:rFonts w:cstheme="minorHAnsi"/>
          <w:sz w:val="24"/>
          <w:szCs w:val="24"/>
        </w:rPr>
        <w:t>corpo</w:t>
      </w:r>
      <w:proofErr w:type="spellEnd"/>
      <w:r w:rsidRPr="00F24406">
        <w:rPr>
          <w:rFonts w:cstheme="minorHAnsi"/>
          <w:sz w:val="24"/>
          <w:szCs w:val="24"/>
        </w:rPr>
        <w:t xml:space="preserve">-política del conocimiento. Aunque la discriminación de género es la más antigua, la clasificación universal de la población planetaria en torno a la "raza" fue central en la dominación colonial. Para los </w:t>
      </w:r>
      <w:proofErr w:type="spellStart"/>
      <w:r w:rsidRPr="00F24406">
        <w:rPr>
          <w:rFonts w:cstheme="minorHAnsi"/>
          <w:sz w:val="24"/>
          <w:szCs w:val="24"/>
        </w:rPr>
        <w:t>decolonialistas</w:t>
      </w:r>
      <w:proofErr w:type="spellEnd"/>
      <w:r w:rsidRPr="00F24406">
        <w:rPr>
          <w:rStyle w:val="Refdenotaalpie"/>
          <w:rFonts w:cstheme="minorHAnsi"/>
          <w:sz w:val="24"/>
          <w:szCs w:val="24"/>
        </w:rPr>
        <w:footnoteReference w:id="7"/>
      </w:r>
      <w:r w:rsidRPr="00F24406">
        <w:rPr>
          <w:rFonts w:cstheme="minorHAnsi"/>
          <w:sz w:val="24"/>
          <w:szCs w:val="24"/>
        </w:rPr>
        <w:t xml:space="preserve">, los recursos de supervivencia de los “indígenas” son los mismos recursos de la vida en el planeta y el capitalismo es el mayor peligro global contemporáneo. El fenómeno político en Bolivia desde el 2006, el primer bloque indigenista en el Estado en 500 años, es crucial para interpretar el escenario decolonial. En un bloque popular tan difícil y contradictorio, él mismo se considera un puente entre campesinos e indígenas por un lado y los sectores medios por otro. </w:t>
      </w:r>
      <w:r w:rsidRPr="00F24406">
        <w:rPr>
          <w:rFonts w:cstheme="minorHAnsi"/>
          <w:b/>
          <w:sz w:val="24"/>
          <w:szCs w:val="24"/>
        </w:rPr>
        <w:t>Edgardo Lander</w:t>
      </w:r>
      <w:r w:rsidRPr="00F24406">
        <w:rPr>
          <w:rFonts w:cstheme="minorHAnsi"/>
          <w:sz w:val="24"/>
          <w:szCs w:val="24"/>
        </w:rPr>
        <w:t xml:space="preserve"> (sociólogo venezolano, profesor en la Universidad Central de Venezuela, investigador asociado del </w:t>
      </w:r>
      <w:proofErr w:type="spellStart"/>
      <w:r w:rsidRPr="00F24406">
        <w:rPr>
          <w:rFonts w:cstheme="minorHAnsi"/>
          <w:sz w:val="24"/>
          <w:szCs w:val="24"/>
        </w:rPr>
        <w:t>Transnational</w:t>
      </w:r>
      <w:proofErr w:type="spellEnd"/>
      <w:r w:rsidRPr="00F24406">
        <w:rPr>
          <w:rFonts w:cstheme="minorHAnsi"/>
          <w:sz w:val="24"/>
          <w:szCs w:val="24"/>
        </w:rPr>
        <w:t xml:space="preserve"> </w:t>
      </w:r>
      <w:proofErr w:type="spellStart"/>
      <w:r w:rsidRPr="00F24406">
        <w:rPr>
          <w:rFonts w:cstheme="minorHAnsi"/>
          <w:sz w:val="24"/>
          <w:szCs w:val="24"/>
        </w:rPr>
        <w:t>Institute</w:t>
      </w:r>
      <w:proofErr w:type="spellEnd"/>
      <w:r w:rsidRPr="00F24406">
        <w:rPr>
          <w:rStyle w:val="Refdenotaalpie"/>
          <w:rFonts w:cstheme="minorHAnsi"/>
          <w:sz w:val="24"/>
          <w:szCs w:val="24"/>
        </w:rPr>
        <w:footnoteReference w:id="8"/>
      </w:r>
      <w:r w:rsidRPr="00F24406">
        <w:rPr>
          <w:rFonts w:cstheme="minorHAnsi"/>
          <w:sz w:val="24"/>
          <w:szCs w:val="24"/>
        </w:rPr>
        <w:t>, fue uno de los organizadores del Foro social Mundial del 2006 en Caracas) critica la naturalización de la sociedad liberal como si fuera la forma más avanzada y normal de toda existencia humana. La inclusión de la naturaleza (y de los agentes asociados con ésta) “debería reemplazar a la relación capital/trabajo de la centralidad osificada que ha ocupado en la teoría marxista”. Si se atiende a las dos dimensiones del proceso, entonces la división internacional de la naturaleza es la base material para la división internacional del trabajo que había destacado la teoría de la dependencia.</w:t>
      </w:r>
      <w:r w:rsidRPr="00F24406">
        <w:rPr>
          <w:rFonts w:cstheme="minorHAnsi"/>
          <w:color w:val="FF0000"/>
          <w:sz w:val="24"/>
          <w:szCs w:val="24"/>
        </w:rPr>
        <w:t xml:space="preserve"> </w:t>
      </w:r>
      <w:r w:rsidRPr="00F24406">
        <w:rPr>
          <w:rFonts w:cstheme="minorHAnsi"/>
          <w:sz w:val="24"/>
          <w:szCs w:val="24"/>
        </w:rPr>
        <w:t xml:space="preserve">Habiendo estudiado sociología en la cárcel, el también matemático (UNAM) y político </w:t>
      </w:r>
      <w:r w:rsidRPr="00F24406">
        <w:rPr>
          <w:rFonts w:cstheme="minorHAnsi"/>
          <w:b/>
          <w:sz w:val="24"/>
          <w:szCs w:val="24"/>
        </w:rPr>
        <w:t>Álvaro García Linera</w:t>
      </w:r>
      <w:r w:rsidRPr="00F24406">
        <w:rPr>
          <w:rFonts w:cstheme="minorHAnsi"/>
          <w:sz w:val="24"/>
          <w:szCs w:val="24"/>
        </w:rPr>
        <w:t xml:space="preserve"> es vicepresidente de Bolivia desde el 2006. Interpreta al primer bloque indigenista en el Estado en 500 años como un "capitalismo </w:t>
      </w:r>
      <w:r w:rsidRPr="00F24406">
        <w:rPr>
          <w:rFonts w:cstheme="minorHAnsi"/>
          <w:sz w:val="24"/>
          <w:szCs w:val="24"/>
        </w:rPr>
        <w:lastRenderedPageBreak/>
        <w:t>estatal" apoyado en el sustento que le ofrece la administración de la clase media letrada. En un bloque popular tan difícil y contradictorio, él mismo se considera un puente entre campesinos e indígenas por un lado y los sectores medios temerosos de darle su voto a los “iletrados” por otro.</w:t>
      </w:r>
    </w:p>
    <w:p w:rsidR="0031414D" w:rsidRPr="00F24406" w:rsidRDefault="0031414D" w:rsidP="00F24406">
      <w:pPr>
        <w:spacing w:after="0" w:line="240" w:lineRule="auto"/>
        <w:jc w:val="both"/>
        <w:rPr>
          <w:rFonts w:cstheme="minorHAnsi"/>
          <w:b/>
          <w:bCs/>
          <w:sz w:val="24"/>
          <w:szCs w:val="24"/>
        </w:rPr>
      </w:pPr>
    </w:p>
    <w:p w:rsidR="001F3FBE" w:rsidRPr="00F24406" w:rsidRDefault="001F3FBE" w:rsidP="00F24406">
      <w:pPr>
        <w:pStyle w:val="Prrafodelista"/>
        <w:numPr>
          <w:ilvl w:val="0"/>
          <w:numId w:val="1"/>
        </w:numPr>
        <w:spacing w:after="0" w:line="240" w:lineRule="auto"/>
        <w:ind w:left="567" w:hanging="567"/>
        <w:jc w:val="both"/>
        <w:rPr>
          <w:rFonts w:cstheme="minorHAnsi"/>
          <w:b/>
          <w:bCs/>
          <w:sz w:val="24"/>
          <w:szCs w:val="24"/>
        </w:rPr>
      </w:pPr>
      <w:r w:rsidRPr="00F24406">
        <w:rPr>
          <w:rFonts w:cstheme="minorHAnsi"/>
          <w:b/>
          <w:bCs/>
          <w:sz w:val="24"/>
          <w:szCs w:val="24"/>
        </w:rPr>
        <w:t>Método de trabajo</w:t>
      </w:r>
    </w:p>
    <w:p w:rsidR="0031414D" w:rsidRPr="00F24406" w:rsidRDefault="0031414D" w:rsidP="00F24406">
      <w:pPr>
        <w:spacing w:after="0" w:line="240" w:lineRule="auto"/>
        <w:contextualSpacing/>
        <w:jc w:val="both"/>
        <w:rPr>
          <w:rFonts w:cstheme="minorHAnsi"/>
          <w:b/>
          <w:bCs/>
          <w:sz w:val="24"/>
          <w:szCs w:val="24"/>
        </w:rPr>
      </w:pPr>
      <w:r w:rsidRPr="00F24406">
        <w:rPr>
          <w:rFonts w:cstheme="minorHAnsi"/>
          <w:sz w:val="24"/>
          <w:szCs w:val="24"/>
        </w:rPr>
        <w:t>Se combinarán clases expositivas con el trabajo en subgrupos prácticos de debate. De esta manera, se estimulará permanentemente la participación del estudiante a partir de su propia reflexión e integración a los temas. En las discusiones se mantendrá el pluralismo teórico elegido para los contenidos de este programa. No habrá puntos de vista prohibidos. Para algunos tópicos y en la medida de lo posible, se invitará especialistas nacionales o internacionales y se buscará, cuando sea pertinente, la coordinación con las otras materias. Los subgrupos consistirán en la reunión de los participantes con ayudantes de cátedra, los cuales tienen la responsabilidad de orientar el debate y profundizar los planteos de las clases teóricas generales. El objetivo no será nunca unificar criterios y conceptos o lograr consensos grupales, sino procurar un espacio para el intercambio de opiniones y puntos de vista sobre los temas abordados.</w:t>
      </w:r>
    </w:p>
    <w:p w:rsidR="0031414D" w:rsidRPr="00F24406" w:rsidRDefault="0031414D" w:rsidP="00F24406">
      <w:pPr>
        <w:pStyle w:val="Prrafodelista"/>
        <w:spacing w:after="0" w:line="240" w:lineRule="auto"/>
        <w:rPr>
          <w:rFonts w:cstheme="minorHAnsi"/>
          <w:b/>
          <w:bCs/>
          <w:sz w:val="24"/>
          <w:szCs w:val="24"/>
        </w:rPr>
      </w:pPr>
    </w:p>
    <w:p w:rsidR="0031414D" w:rsidRPr="00F24406" w:rsidRDefault="0031414D" w:rsidP="00F24406">
      <w:pPr>
        <w:pStyle w:val="Prrafodelista"/>
        <w:numPr>
          <w:ilvl w:val="0"/>
          <w:numId w:val="1"/>
        </w:numPr>
        <w:spacing w:after="0" w:line="240" w:lineRule="auto"/>
        <w:ind w:left="567" w:hanging="567"/>
        <w:jc w:val="both"/>
        <w:rPr>
          <w:rFonts w:cstheme="minorHAnsi"/>
          <w:b/>
          <w:bCs/>
          <w:sz w:val="24"/>
          <w:szCs w:val="24"/>
        </w:rPr>
      </w:pPr>
      <w:r w:rsidRPr="00F24406">
        <w:rPr>
          <w:rFonts w:cstheme="minorHAnsi"/>
          <w:b/>
          <w:bCs/>
          <w:sz w:val="24"/>
          <w:szCs w:val="24"/>
        </w:rPr>
        <w:t>Sistema de evaluación</w:t>
      </w:r>
    </w:p>
    <w:p w:rsidR="004B2BB7" w:rsidRPr="00F24406" w:rsidRDefault="004B2BB7" w:rsidP="00F24406">
      <w:pPr>
        <w:spacing w:after="0" w:line="240" w:lineRule="auto"/>
        <w:ind w:right="-82"/>
        <w:contextualSpacing/>
        <w:jc w:val="both"/>
        <w:rPr>
          <w:rFonts w:cstheme="minorHAnsi"/>
          <w:sz w:val="24"/>
          <w:szCs w:val="24"/>
        </w:rPr>
      </w:pPr>
      <w:r w:rsidRPr="00F24406">
        <w:rPr>
          <w:rFonts w:cstheme="minorHAnsi"/>
          <w:sz w:val="24"/>
          <w:szCs w:val="24"/>
        </w:rPr>
        <w:t>Se realizarán dos evaluaciones parciales</w:t>
      </w:r>
      <w:r w:rsidR="0031414D" w:rsidRPr="00F24406">
        <w:rPr>
          <w:rFonts w:cstheme="minorHAnsi"/>
          <w:sz w:val="24"/>
          <w:szCs w:val="24"/>
        </w:rPr>
        <w:t xml:space="preserve"> (la primera presencial y la segunda no presencial)</w:t>
      </w:r>
      <w:r w:rsidRPr="00F24406">
        <w:rPr>
          <w:rFonts w:cstheme="minorHAnsi"/>
          <w:sz w:val="24"/>
          <w:szCs w:val="24"/>
        </w:rPr>
        <w:t xml:space="preserve"> que calificarán a los estudiantes reglamentados siguiendo los siguientes criterios:</w:t>
      </w:r>
    </w:p>
    <w:p w:rsidR="004B2BB7" w:rsidRPr="00F24406" w:rsidRDefault="004B2BB7" w:rsidP="00F24406">
      <w:pPr>
        <w:pStyle w:val="Prrafodelista"/>
        <w:numPr>
          <w:ilvl w:val="1"/>
          <w:numId w:val="3"/>
        </w:numPr>
        <w:spacing w:after="0" w:line="240" w:lineRule="auto"/>
        <w:ind w:left="567" w:right="-82" w:hanging="283"/>
        <w:jc w:val="both"/>
        <w:rPr>
          <w:rFonts w:cstheme="minorHAnsi"/>
          <w:sz w:val="24"/>
          <w:szCs w:val="24"/>
        </w:rPr>
      </w:pPr>
      <w:r w:rsidRPr="00F24406">
        <w:rPr>
          <w:rFonts w:cstheme="minorHAnsi"/>
          <w:sz w:val="24"/>
          <w:szCs w:val="24"/>
        </w:rPr>
        <w:t>Capacidad de integrar los conocimientos sobre los autores vistos en el desarrollo del curso.</w:t>
      </w:r>
    </w:p>
    <w:p w:rsidR="004B2BB7" w:rsidRPr="00F24406" w:rsidRDefault="004B2BB7" w:rsidP="00F24406">
      <w:pPr>
        <w:pStyle w:val="Prrafodelista"/>
        <w:numPr>
          <w:ilvl w:val="1"/>
          <w:numId w:val="3"/>
        </w:numPr>
        <w:spacing w:after="0" w:line="240" w:lineRule="auto"/>
        <w:ind w:left="567" w:right="-82" w:hanging="283"/>
        <w:jc w:val="both"/>
        <w:rPr>
          <w:rFonts w:cstheme="minorHAnsi"/>
          <w:sz w:val="24"/>
          <w:szCs w:val="24"/>
        </w:rPr>
      </w:pPr>
      <w:r w:rsidRPr="00F24406">
        <w:rPr>
          <w:rFonts w:cstheme="minorHAnsi"/>
          <w:sz w:val="24"/>
          <w:szCs w:val="24"/>
        </w:rPr>
        <w:t>Dominio de la bibliografía obligatoria.</w:t>
      </w:r>
    </w:p>
    <w:p w:rsidR="004B2BB7" w:rsidRPr="00F24406" w:rsidRDefault="004B2BB7" w:rsidP="00F24406">
      <w:pPr>
        <w:pStyle w:val="Prrafodelista"/>
        <w:numPr>
          <w:ilvl w:val="1"/>
          <w:numId w:val="3"/>
        </w:numPr>
        <w:spacing w:after="0" w:line="240" w:lineRule="auto"/>
        <w:ind w:left="567" w:right="-82" w:hanging="283"/>
        <w:jc w:val="both"/>
        <w:rPr>
          <w:rFonts w:cstheme="minorHAnsi"/>
          <w:sz w:val="24"/>
          <w:szCs w:val="24"/>
        </w:rPr>
      </w:pPr>
      <w:r w:rsidRPr="00F24406">
        <w:rPr>
          <w:rFonts w:cstheme="minorHAnsi"/>
          <w:sz w:val="24"/>
          <w:szCs w:val="24"/>
        </w:rPr>
        <w:t>Capacidad de síntesis teórica en los temas relevantes.</w:t>
      </w:r>
    </w:p>
    <w:p w:rsidR="004B2BB7" w:rsidRPr="00F24406" w:rsidRDefault="004B2BB7" w:rsidP="00F24406">
      <w:pPr>
        <w:pStyle w:val="Prrafodelista"/>
        <w:numPr>
          <w:ilvl w:val="1"/>
          <w:numId w:val="3"/>
        </w:numPr>
        <w:spacing w:after="0" w:line="240" w:lineRule="auto"/>
        <w:ind w:left="567" w:right="-82" w:hanging="283"/>
        <w:jc w:val="both"/>
        <w:rPr>
          <w:rFonts w:cstheme="minorHAnsi"/>
          <w:sz w:val="24"/>
          <w:szCs w:val="24"/>
        </w:rPr>
      </w:pPr>
      <w:r w:rsidRPr="00F24406">
        <w:rPr>
          <w:rFonts w:cstheme="minorHAnsi"/>
          <w:sz w:val="24"/>
          <w:szCs w:val="24"/>
        </w:rPr>
        <w:t>Formulación de nuevas preguntas, inquietudes y temáticas en la teoría actual.</w:t>
      </w:r>
    </w:p>
    <w:p w:rsidR="004B2BB7" w:rsidRPr="00F24406" w:rsidRDefault="004B2BB7" w:rsidP="00F24406">
      <w:pPr>
        <w:pStyle w:val="Prrafodelista"/>
        <w:numPr>
          <w:ilvl w:val="1"/>
          <w:numId w:val="3"/>
        </w:numPr>
        <w:spacing w:after="0" w:line="240" w:lineRule="auto"/>
        <w:ind w:left="567" w:right="-82" w:hanging="283"/>
        <w:jc w:val="both"/>
        <w:rPr>
          <w:rFonts w:cstheme="minorHAnsi"/>
          <w:sz w:val="24"/>
          <w:szCs w:val="24"/>
        </w:rPr>
      </w:pPr>
      <w:r w:rsidRPr="00F24406">
        <w:rPr>
          <w:rFonts w:cstheme="minorHAnsi"/>
          <w:sz w:val="24"/>
          <w:szCs w:val="24"/>
        </w:rPr>
        <w:t>Aporte y contribución a su práctico o al grupo en general de textos, artículos, investigaciones, ensayos, etc., sociológicamente relevantes sobre alguno de los temas o autores trabajados en el curso.</w:t>
      </w:r>
    </w:p>
    <w:p w:rsidR="00F24406" w:rsidRDefault="00F24406" w:rsidP="00F24406">
      <w:pPr>
        <w:spacing w:after="0" w:line="240" w:lineRule="auto"/>
        <w:ind w:right="-82" w:firstLine="284"/>
        <w:contextualSpacing/>
        <w:jc w:val="both"/>
        <w:rPr>
          <w:rFonts w:cstheme="minorHAnsi"/>
          <w:sz w:val="24"/>
          <w:szCs w:val="24"/>
        </w:rPr>
      </w:pPr>
    </w:p>
    <w:p w:rsidR="00A138FC" w:rsidRDefault="004B2BB7" w:rsidP="00A138FC">
      <w:pPr>
        <w:spacing w:after="0" w:line="240" w:lineRule="auto"/>
        <w:ind w:right="-82" w:firstLine="284"/>
        <w:contextualSpacing/>
        <w:jc w:val="both"/>
        <w:rPr>
          <w:rFonts w:cstheme="minorHAnsi"/>
          <w:sz w:val="24"/>
          <w:szCs w:val="24"/>
        </w:rPr>
      </w:pPr>
      <w:r w:rsidRPr="00F24406">
        <w:rPr>
          <w:rFonts w:cstheme="minorHAnsi"/>
          <w:sz w:val="24"/>
          <w:szCs w:val="24"/>
        </w:rPr>
        <w:t xml:space="preserve">Para mantener la condición de reglamentado, el estudiante deberá asistir al 75% de las clases obligatorias y obtener como mínimo un promedio regular (03) en la evaluación del curso, como resultado del promedio de las </w:t>
      </w:r>
      <w:r w:rsidR="00A138FC">
        <w:rPr>
          <w:rFonts w:cstheme="minorHAnsi"/>
          <w:sz w:val="24"/>
          <w:szCs w:val="24"/>
        </w:rPr>
        <w:t xml:space="preserve">dos </w:t>
      </w:r>
      <w:r w:rsidRPr="00F24406">
        <w:rPr>
          <w:rFonts w:cstheme="minorHAnsi"/>
          <w:sz w:val="24"/>
          <w:szCs w:val="24"/>
        </w:rPr>
        <w:t>evaluaciones parciales escrit</w:t>
      </w:r>
      <w:r w:rsidR="00A138FC">
        <w:rPr>
          <w:rFonts w:cstheme="minorHAnsi"/>
          <w:sz w:val="24"/>
          <w:szCs w:val="24"/>
        </w:rPr>
        <w:t>a</w:t>
      </w:r>
      <w:r w:rsidRPr="00F24406">
        <w:rPr>
          <w:rFonts w:cstheme="minorHAnsi"/>
          <w:sz w:val="24"/>
          <w:szCs w:val="24"/>
        </w:rPr>
        <w:t>s</w:t>
      </w:r>
      <w:r w:rsidR="00A138FC">
        <w:rPr>
          <w:rFonts w:cstheme="minorHAnsi"/>
          <w:sz w:val="24"/>
          <w:szCs w:val="24"/>
        </w:rPr>
        <w:t>.</w:t>
      </w:r>
      <w:r w:rsidRPr="00F24406">
        <w:rPr>
          <w:rFonts w:cstheme="minorHAnsi"/>
          <w:sz w:val="24"/>
          <w:szCs w:val="24"/>
        </w:rPr>
        <w:t xml:space="preserve"> </w:t>
      </w:r>
      <w:r w:rsidR="00A138FC">
        <w:rPr>
          <w:rFonts w:cstheme="minorHAnsi"/>
          <w:sz w:val="24"/>
          <w:szCs w:val="24"/>
        </w:rPr>
        <w:t>P</w:t>
      </w:r>
      <w:r w:rsidR="00A138FC" w:rsidRPr="00F24406">
        <w:rPr>
          <w:rFonts w:cstheme="minorHAnsi"/>
          <w:sz w:val="24"/>
          <w:szCs w:val="24"/>
        </w:rPr>
        <w:t xml:space="preserve">ara las notas finales de curso, </w:t>
      </w:r>
      <w:r w:rsidR="00A138FC">
        <w:rPr>
          <w:rFonts w:cstheme="minorHAnsi"/>
          <w:sz w:val="24"/>
          <w:szCs w:val="24"/>
        </w:rPr>
        <w:t xml:space="preserve">también </w:t>
      </w:r>
      <w:r w:rsidR="00A138FC" w:rsidRPr="00F24406">
        <w:rPr>
          <w:rFonts w:cstheme="minorHAnsi"/>
          <w:sz w:val="24"/>
          <w:szCs w:val="24"/>
        </w:rPr>
        <w:t>se tendrá en cuenta la participación de los estudiantes en las modalidades de enseñanza que se planteen en el subgrupo práctico.</w:t>
      </w:r>
    </w:p>
    <w:p w:rsidR="00A138FC" w:rsidRDefault="00A138FC" w:rsidP="00A138FC">
      <w:pPr>
        <w:spacing w:after="0" w:line="240" w:lineRule="auto"/>
        <w:ind w:right="-82" w:firstLine="284"/>
        <w:contextualSpacing/>
        <w:jc w:val="both"/>
        <w:rPr>
          <w:rFonts w:cstheme="minorHAnsi"/>
          <w:sz w:val="24"/>
          <w:szCs w:val="24"/>
        </w:rPr>
      </w:pPr>
      <w:r w:rsidRPr="00F24406">
        <w:rPr>
          <w:rFonts w:cstheme="minorHAnsi"/>
          <w:sz w:val="24"/>
          <w:szCs w:val="24"/>
        </w:rPr>
        <w:t xml:space="preserve">Los exámenes, reglamentados y libres, serán no presenciales y consistirán en una serie de preguntas acerca de situaciones concretas donde se evaluará que el estudiante esté en condiciones de aplicar las categorías de análisis propuestas por los diversos autores en forma correcta, creativa y que supere la simple aplicación del sentido común. </w:t>
      </w:r>
      <w:r>
        <w:rPr>
          <w:rFonts w:cstheme="minorHAnsi"/>
          <w:sz w:val="24"/>
          <w:szCs w:val="24"/>
        </w:rPr>
        <w:t xml:space="preserve">Los exámenes libres </w:t>
      </w:r>
      <w:r w:rsidR="007C4FEA">
        <w:rPr>
          <w:rFonts w:cstheme="minorHAnsi"/>
          <w:sz w:val="24"/>
          <w:szCs w:val="24"/>
        </w:rPr>
        <w:t>tendrán un mayor nivel de exigencia</w:t>
      </w:r>
      <w:r>
        <w:rPr>
          <w:rFonts w:cstheme="minorHAnsi"/>
          <w:sz w:val="24"/>
          <w:szCs w:val="24"/>
        </w:rPr>
        <w:t xml:space="preserve"> que los exámenes reglamentados. Esto significa que, dependiendo de la modalidad del examen, los estudiantes en condición de libre </w:t>
      </w:r>
      <w:r w:rsidR="007C4FEA">
        <w:rPr>
          <w:rFonts w:cstheme="minorHAnsi"/>
          <w:sz w:val="24"/>
          <w:szCs w:val="24"/>
        </w:rPr>
        <w:t xml:space="preserve">deberán </w:t>
      </w:r>
      <w:r>
        <w:rPr>
          <w:rFonts w:cstheme="minorHAnsi"/>
          <w:sz w:val="24"/>
          <w:szCs w:val="24"/>
        </w:rPr>
        <w:t>respond</w:t>
      </w:r>
      <w:r w:rsidR="007C4FEA">
        <w:rPr>
          <w:rFonts w:cstheme="minorHAnsi"/>
          <w:sz w:val="24"/>
          <w:szCs w:val="24"/>
        </w:rPr>
        <w:t>er</w:t>
      </w:r>
      <w:r>
        <w:rPr>
          <w:rFonts w:cstheme="minorHAnsi"/>
          <w:sz w:val="24"/>
          <w:szCs w:val="24"/>
        </w:rPr>
        <w:t xml:space="preserve"> más preguntas</w:t>
      </w:r>
      <w:r w:rsidR="007C4FEA">
        <w:rPr>
          <w:rFonts w:cstheme="minorHAnsi"/>
          <w:sz w:val="24"/>
          <w:szCs w:val="24"/>
        </w:rPr>
        <w:t xml:space="preserve"> y/o</w:t>
      </w:r>
      <w:r>
        <w:rPr>
          <w:rFonts w:cstheme="minorHAnsi"/>
          <w:sz w:val="24"/>
          <w:szCs w:val="24"/>
        </w:rPr>
        <w:t xml:space="preserve"> manej</w:t>
      </w:r>
      <w:r w:rsidR="007C4FEA">
        <w:rPr>
          <w:rFonts w:cstheme="minorHAnsi"/>
          <w:sz w:val="24"/>
          <w:szCs w:val="24"/>
        </w:rPr>
        <w:t>ar</w:t>
      </w:r>
      <w:r>
        <w:rPr>
          <w:rFonts w:cstheme="minorHAnsi"/>
          <w:sz w:val="24"/>
          <w:szCs w:val="24"/>
        </w:rPr>
        <w:t xml:space="preserve"> más autores </w:t>
      </w:r>
      <w:r w:rsidR="007C4FEA">
        <w:rPr>
          <w:rFonts w:cstheme="minorHAnsi"/>
          <w:sz w:val="24"/>
          <w:szCs w:val="24"/>
        </w:rPr>
        <w:t>en las respuestas</w:t>
      </w:r>
      <w:r>
        <w:rPr>
          <w:rFonts w:cstheme="minorHAnsi"/>
          <w:sz w:val="24"/>
          <w:szCs w:val="24"/>
        </w:rPr>
        <w:t xml:space="preserve">.  </w:t>
      </w:r>
    </w:p>
    <w:p w:rsidR="004B2BB7" w:rsidRPr="00F24406" w:rsidRDefault="004B2BB7" w:rsidP="00F24406">
      <w:pPr>
        <w:spacing w:after="0" w:line="240" w:lineRule="auto"/>
        <w:ind w:firstLine="284"/>
        <w:contextualSpacing/>
        <w:jc w:val="both"/>
        <w:rPr>
          <w:rFonts w:cstheme="minorHAnsi"/>
          <w:b/>
          <w:bCs/>
          <w:sz w:val="24"/>
          <w:szCs w:val="24"/>
        </w:rPr>
      </w:pPr>
      <w:r w:rsidRPr="00F24406">
        <w:rPr>
          <w:rFonts w:cstheme="minorHAnsi"/>
          <w:sz w:val="24"/>
          <w:szCs w:val="24"/>
        </w:rPr>
        <w:t>La aprobación del curso está sujeta al art. 6 del reglamento de la Facultad de Ciencias Sociales de la Universidad de</w:t>
      </w:r>
      <w:r w:rsidR="0031414D" w:rsidRPr="00F24406">
        <w:rPr>
          <w:rFonts w:cstheme="minorHAnsi"/>
          <w:sz w:val="24"/>
          <w:szCs w:val="24"/>
        </w:rPr>
        <w:t xml:space="preserve"> </w:t>
      </w:r>
      <w:r w:rsidRPr="00F24406">
        <w:rPr>
          <w:rFonts w:cstheme="minorHAnsi"/>
          <w:sz w:val="24"/>
          <w:szCs w:val="24"/>
        </w:rPr>
        <w:t xml:space="preserve">la República Oriental del Uruguay. Se recuerda que la nota de aprobación de parciales y de cursos implica que el estudiante domine satisfactoriamente el 50% del material evaluado. Los/as estudiantes en condición de libres tendrán preguntas o </w:t>
      </w:r>
      <w:r w:rsidRPr="00F24406">
        <w:rPr>
          <w:rFonts w:cstheme="minorHAnsi"/>
          <w:sz w:val="24"/>
          <w:szCs w:val="24"/>
        </w:rPr>
        <w:lastRenderedPageBreak/>
        <w:t>temas adicionales para desarrollar en relación a los/as estudiantes reglamentados/as. El curso se exonerará con una evaluación final igual o superior a nueve (9).</w:t>
      </w:r>
    </w:p>
    <w:p w:rsidR="00A138FC" w:rsidRPr="00F24406" w:rsidRDefault="00A138FC" w:rsidP="00F24406">
      <w:pPr>
        <w:spacing w:after="0" w:line="240" w:lineRule="auto"/>
        <w:jc w:val="both"/>
        <w:rPr>
          <w:rFonts w:cstheme="minorHAnsi"/>
          <w:b/>
          <w:bCs/>
          <w:sz w:val="24"/>
          <w:szCs w:val="24"/>
        </w:rPr>
      </w:pPr>
    </w:p>
    <w:p w:rsidR="00F152A1" w:rsidRPr="00F24406" w:rsidRDefault="001F3FBE" w:rsidP="00F24406">
      <w:pPr>
        <w:pStyle w:val="Prrafodelista"/>
        <w:numPr>
          <w:ilvl w:val="0"/>
          <w:numId w:val="1"/>
        </w:numPr>
        <w:spacing w:after="0" w:line="240" w:lineRule="auto"/>
        <w:ind w:left="567" w:hanging="567"/>
        <w:jc w:val="both"/>
        <w:rPr>
          <w:rFonts w:cstheme="minorHAnsi"/>
          <w:b/>
          <w:bCs/>
          <w:sz w:val="24"/>
          <w:szCs w:val="24"/>
        </w:rPr>
      </w:pPr>
      <w:r w:rsidRPr="00F24406">
        <w:rPr>
          <w:rFonts w:cstheme="minorHAnsi"/>
          <w:b/>
          <w:bCs/>
          <w:sz w:val="24"/>
          <w:szCs w:val="24"/>
        </w:rPr>
        <w:t>Bibliografía</w:t>
      </w:r>
    </w:p>
    <w:p w:rsidR="00F152A1" w:rsidRPr="00F24406" w:rsidRDefault="00F152A1" w:rsidP="00F24406">
      <w:pPr>
        <w:spacing w:after="0" w:line="240" w:lineRule="auto"/>
        <w:ind w:right="-82"/>
        <w:contextualSpacing/>
        <w:jc w:val="both"/>
        <w:rPr>
          <w:rFonts w:cstheme="minorHAnsi"/>
          <w:sz w:val="24"/>
          <w:szCs w:val="24"/>
        </w:rPr>
      </w:pPr>
      <w:r w:rsidRPr="00F24406">
        <w:rPr>
          <w:rFonts w:cstheme="minorHAnsi"/>
          <w:sz w:val="24"/>
          <w:szCs w:val="24"/>
        </w:rPr>
        <w:t xml:space="preserve">La bibliografía se </w:t>
      </w:r>
      <w:r w:rsidR="001B5F04" w:rsidRPr="00F24406">
        <w:rPr>
          <w:rFonts w:cstheme="minorHAnsi"/>
          <w:sz w:val="24"/>
          <w:szCs w:val="24"/>
        </w:rPr>
        <w:t xml:space="preserve">clasifica en: </w:t>
      </w:r>
      <w:r w:rsidRPr="00F24406">
        <w:rPr>
          <w:rFonts w:cstheme="minorHAnsi"/>
          <w:b/>
          <w:bCs/>
          <w:sz w:val="24"/>
          <w:szCs w:val="24"/>
        </w:rPr>
        <w:t xml:space="preserve">a) </w:t>
      </w:r>
      <w:r w:rsidR="001B5F04" w:rsidRPr="00F24406">
        <w:rPr>
          <w:rFonts w:cstheme="minorHAnsi"/>
          <w:b/>
          <w:bCs/>
          <w:sz w:val="24"/>
          <w:szCs w:val="24"/>
        </w:rPr>
        <w:t>O</w:t>
      </w:r>
      <w:r w:rsidRPr="00F24406">
        <w:rPr>
          <w:rFonts w:cstheme="minorHAnsi"/>
          <w:b/>
          <w:bCs/>
          <w:sz w:val="24"/>
          <w:szCs w:val="24"/>
        </w:rPr>
        <w:t>bligatoria</w:t>
      </w:r>
      <w:r w:rsidR="001B5F04" w:rsidRPr="00F24406">
        <w:rPr>
          <w:rFonts w:cstheme="minorHAnsi"/>
          <w:b/>
          <w:bCs/>
          <w:sz w:val="24"/>
          <w:szCs w:val="24"/>
        </w:rPr>
        <w:t>.</w:t>
      </w:r>
      <w:r w:rsidR="001B5F04" w:rsidRPr="00F24406">
        <w:rPr>
          <w:rFonts w:cstheme="minorHAnsi"/>
          <w:sz w:val="24"/>
          <w:szCs w:val="24"/>
        </w:rPr>
        <w:t xml:space="preserve"> Es la bibliografía</w:t>
      </w:r>
      <w:r w:rsidRPr="00F24406">
        <w:rPr>
          <w:rFonts w:cstheme="minorHAnsi"/>
          <w:sz w:val="24"/>
          <w:szCs w:val="24"/>
        </w:rPr>
        <w:t xml:space="preserve"> “mínima” y “básica” </w:t>
      </w:r>
      <w:r w:rsidR="001B5F04" w:rsidRPr="00F24406">
        <w:rPr>
          <w:rFonts w:cstheme="minorHAnsi"/>
          <w:sz w:val="24"/>
          <w:szCs w:val="24"/>
        </w:rPr>
        <w:t xml:space="preserve">para la </w:t>
      </w:r>
      <w:r w:rsidRPr="00F24406">
        <w:rPr>
          <w:rFonts w:cstheme="minorHAnsi"/>
          <w:sz w:val="24"/>
          <w:szCs w:val="24"/>
        </w:rPr>
        <w:t>lectura, fichaje y evaluación</w:t>
      </w:r>
      <w:r w:rsidR="001B5F04" w:rsidRPr="00F24406">
        <w:rPr>
          <w:rFonts w:cstheme="minorHAnsi"/>
          <w:sz w:val="24"/>
          <w:szCs w:val="24"/>
        </w:rPr>
        <w:t xml:space="preserve">. </w:t>
      </w:r>
      <w:r w:rsidRPr="00F24406">
        <w:rPr>
          <w:rFonts w:cstheme="minorHAnsi"/>
          <w:sz w:val="24"/>
          <w:szCs w:val="24"/>
        </w:rPr>
        <w:t xml:space="preserve">b) </w:t>
      </w:r>
      <w:r w:rsidR="001B5F04" w:rsidRPr="00F24406">
        <w:rPr>
          <w:rFonts w:cstheme="minorHAnsi"/>
          <w:sz w:val="24"/>
          <w:szCs w:val="24"/>
        </w:rPr>
        <w:t>A</w:t>
      </w:r>
      <w:r w:rsidRPr="00F24406">
        <w:rPr>
          <w:rFonts w:cstheme="minorHAnsi"/>
          <w:sz w:val="24"/>
          <w:szCs w:val="24"/>
        </w:rPr>
        <w:t>mpliatoria</w:t>
      </w:r>
      <w:r w:rsidR="001B5F04" w:rsidRPr="00F24406">
        <w:rPr>
          <w:rFonts w:cstheme="minorHAnsi"/>
          <w:sz w:val="24"/>
          <w:szCs w:val="24"/>
        </w:rPr>
        <w:t>.</w:t>
      </w:r>
      <w:r w:rsidRPr="00F24406">
        <w:rPr>
          <w:rFonts w:cstheme="minorHAnsi"/>
          <w:sz w:val="24"/>
          <w:szCs w:val="24"/>
        </w:rPr>
        <w:t xml:space="preserve"> c) </w:t>
      </w:r>
      <w:r w:rsidR="001B5F04" w:rsidRPr="00F24406">
        <w:rPr>
          <w:rFonts w:cstheme="minorHAnsi"/>
          <w:sz w:val="24"/>
          <w:szCs w:val="24"/>
        </w:rPr>
        <w:t>C</w:t>
      </w:r>
      <w:r w:rsidRPr="00F24406">
        <w:rPr>
          <w:rFonts w:cstheme="minorHAnsi"/>
          <w:sz w:val="24"/>
          <w:szCs w:val="24"/>
        </w:rPr>
        <w:t>onsulta</w:t>
      </w:r>
      <w:r w:rsidR="001B5F04" w:rsidRPr="00F24406">
        <w:rPr>
          <w:rFonts w:cstheme="minorHAnsi"/>
          <w:sz w:val="24"/>
          <w:szCs w:val="24"/>
        </w:rPr>
        <w:t>.</w:t>
      </w:r>
      <w:r w:rsidRPr="00F24406">
        <w:rPr>
          <w:rFonts w:cstheme="minorHAnsi"/>
          <w:sz w:val="24"/>
          <w:szCs w:val="24"/>
        </w:rPr>
        <w:t xml:space="preserve"> </w:t>
      </w:r>
      <w:r w:rsidR="001B5F04" w:rsidRPr="00F24406">
        <w:rPr>
          <w:rFonts w:cstheme="minorHAnsi"/>
          <w:sz w:val="24"/>
          <w:szCs w:val="24"/>
        </w:rPr>
        <w:t xml:space="preserve">Para satisfacer </w:t>
      </w:r>
      <w:r w:rsidRPr="00F24406">
        <w:rPr>
          <w:rFonts w:cstheme="minorHAnsi"/>
          <w:sz w:val="24"/>
          <w:szCs w:val="24"/>
        </w:rPr>
        <w:t>intereses personales, proyectos, etc.</w:t>
      </w:r>
    </w:p>
    <w:p w:rsidR="001B5F04" w:rsidRDefault="001B5F04" w:rsidP="00F24406">
      <w:pPr>
        <w:spacing w:after="0" w:line="240" w:lineRule="auto"/>
        <w:ind w:right="-82"/>
        <w:contextualSpacing/>
        <w:jc w:val="both"/>
        <w:rPr>
          <w:rFonts w:cstheme="minorHAnsi"/>
          <w:sz w:val="24"/>
          <w:szCs w:val="24"/>
        </w:rPr>
      </w:pPr>
    </w:p>
    <w:p w:rsidR="007C4FEA" w:rsidRPr="00F24406" w:rsidRDefault="007C4FEA" w:rsidP="00F24406">
      <w:pPr>
        <w:spacing w:after="0" w:line="240" w:lineRule="auto"/>
        <w:ind w:right="-82"/>
        <w:contextualSpacing/>
        <w:jc w:val="both"/>
        <w:rPr>
          <w:rFonts w:cstheme="minorHAnsi"/>
          <w:sz w:val="24"/>
          <w:szCs w:val="24"/>
        </w:rPr>
      </w:pPr>
    </w:p>
    <w:p w:rsidR="00F152A1" w:rsidRPr="00F24406" w:rsidRDefault="00F152A1" w:rsidP="00F24406">
      <w:pPr>
        <w:spacing w:after="0" w:line="240" w:lineRule="auto"/>
        <w:ind w:right="-82"/>
        <w:contextualSpacing/>
        <w:jc w:val="both"/>
        <w:rPr>
          <w:rFonts w:cstheme="minorHAnsi"/>
          <w:b/>
          <w:bCs/>
          <w:sz w:val="24"/>
          <w:szCs w:val="24"/>
        </w:rPr>
      </w:pPr>
      <w:r w:rsidRPr="00F24406">
        <w:rPr>
          <w:rFonts w:cstheme="minorHAnsi"/>
          <w:b/>
          <w:bCs/>
          <w:sz w:val="24"/>
          <w:szCs w:val="24"/>
        </w:rPr>
        <w:t>MÓDULO I. INTRODUCCIÓN A LOS PENSAMIENTOS DESDE LA CRISIS. EL CONTEXTO Y EL CO-TEXTO CONTEMPORÁNEOS</w:t>
      </w:r>
    </w:p>
    <w:p w:rsidR="00F24406" w:rsidRDefault="00F24406" w:rsidP="00F24406">
      <w:pPr>
        <w:spacing w:after="0" w:line="240" w:lineRule="auto"/>
        <w:ind w:right="-82"/>
        <w:contextualSpacing/>
        <w:jc w:val="both"/>
        <w:rPr>
          <w:rFonts w:cstheme="minorHAnsi"/>
          <w:b/>
          <w:bCs/>
          <w:sz w:val="24"/>
          <w:szCs w:val="24"/>
        </w:rPr>
      </w:pPr>
    </w:p>
    <w:p w:rsidR="00F152A1" w:rsidRPr="00F24406" w:rsidRDefault="00F152A1" w:rsidP="00F24406">
      <w:pPr>
        <w:spacing w:after="0" w:line="240" w:lineRule="auto"/>
        <w:ind w:right="-82"/>
        <w:contextualSpacing/>
        <w:jc w:val="both"/>
        <w:rPr>
          <w:rFonts w:cstheme="minorHAnsi"/>
          <w:b/>
          <w:bCs/>
          <w:sz w:val="24"/>
          <w:szCs w:val="24"/>
        </w:rPr>
      </w:pPr>
      <w:r w:rsidRPr="00F24406">
        <w:rPr>
          <w:rFonts w:cstheme="minorHAnsi"/>
          <w:b/>
          <w:bCs/>
          <w:sz w:val="24"/>
          <w:szCs w:val="24"/>
        </w:rPr>
        <w:t>Lecturas obligatorias: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sz w:val="24"/>
          <w:szCs w:val="24"/>
        </w:rPr>
        <w:t xml:space="preserve">1-Jameson, Fredric. (1984/1991/1992): El POSMODERNISMO O LA LÓGICA CULTURAL DEL CAPITALISMO TARDÍO. Paidós, Buenos Aires. (Introducción y capítulo 1, páginas 9-72) </w:t>
      </w:r>
      <w:r w:rsidRPr="00F24406">
        <w:rPr>
          <w:rFonts w:cstheme="minorHAnsi"/>
          <w:color w:val="000000"/>
          <w:sz w:val="24"/>
          <w:szCs w:val="24"/>
        </w:rPr>
        <w:t>[64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2- “Arqueologías del futuro. Una charla de Fredric Jameson.” En El Viejo topo </w:t>
      </w:r>
      <w:proofErr w:type="spellStart"/>
      <w:r w:rsidRPr="00F24406">
        <w:rPr>
          <w:rFonts w:cstheme="minorHAnsi"/>
          <w:color w:val="000000"/>
          <w:sz w:val="24"/>
          <w:szCs w:val="24"/>
        </w:rPr>
        <w:t>Nº</w:t>
      </w:r>
      <w:proofErr w:type="spellEnd"/>
      <w:r w:rsidRPr="00F24406">
        <w:rPr>
          <w:rFonts w:cstheme="minorHAnsi"/>
          <w:color w:val="000000"/>
          <w:sz w:val="24"/>
          <w:szCs w:val="24"/>
        </w:rPr>
        <w:t>. 219, 2006: 68-73. [6 págs. de lectura]</w:t>
      </w:r>
    </w:p>
    <w:p w:rsidR="001B5F04" w:rsidRPr="00F24406" w:rsidRDefault="001B5F04" w:rsidP="00F24406">
      <w:pPr>
        <w:spacing w:after="0" w:line="240" w:lineRule="auto"/>
        <w:ind w:right="-82"/>
        <w:contextualSpacing/>
        <w:jc w:val="both"/>
        <w:rPr>
          <w:rFonts w:cstheme="minorHAnsi"/>
          <w:b/>
          <w:bCs/>
          <w:color w:val="000000"/>
          <w:sz w:val="24"/>
          <w:szCs w:val="24"/>
        </w:rPr>
      </w:pP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t>Lecturas ampliatorias opcionales:</w:t>
      </w:r>
    </w:p>
    <w:p w:rsidR="00F152A1" w:rsidRPr="00F24406" w:rsidRDefault="00F152A1" w:rsidP="00F24406">
      <w:pPr>
        <w:spacing w:after="0" w:line="240" w:lineRule="auto"/>
        <w:contextualSpacing/>
        <w:rPr>
          <w:rFonts w:cstheme="minorHAnsi"/>
          <w:sz w:val="24"/>
          <w:szCs w:val="24"/>
          <w:lang w:val="es-ES_tradnl" w:bidi="he-IL"/>
        </w:rPr>
      </w:pPr>
      <w:r w:rsidRPr="00F24406">
        <w:rPr>
          <w:rFonts w:cstheme="minorHAnsi"/>
          <w:sz w:val="24"/>
          <w:szCs w:val="24"/>
          <w:lang w:val="es-ES_tradnl" w:bidi="he-IL"/>
        </w:rPr>
        <w:t xml:space="preserve">1- de Saussure, Ferdinand: </w:t>
      </w:r>
      <w:r w:rsidRPr="00F24406">
        <w:rPr>
          <w:rFonts w:cstheme="minorHAnsi"/>
          <w:i/>
          <w:iCs/>
          <w:sz w:val="24"/>
          <w:szCs w:val="24"/>
          <w:lang w:val="es-ES_tradnl" w:bidi="he-IL"/>
        </w:rPr>
        <w:t>CURSO DE LINGÜÍSTICA GENERAL</w:t>
      </w:r>
      <w:r w:rsidRPr="00F24406">
        <w:rPr>
          <w:rFonts w:cstheme="minorHAnsi"/>
          <w:sz w:val="24"/>
          <w:szCs w:val="24"/>
          <w:lang w:val="es-ES_tradnl" w:bidi="he-IL"/>
        </w:rPr>
        <w:t xml:space="preserve"> (Introducción capítulos 1-5, parte I, parte II)</w:t>
      </w:r>
    </w:p>
    <w:p w:rsidR="00F152A1" w:rsidRPr="00F24406" w:rsidRDefault="00F152A1" w:rsidP="00F24406">
      <w:pPr>
        <w:spacing w:after="0" w:line="240" w:lineRule="auto"/>
        <w:contextualSpacing/>
        <w:rPr>
          <w:rFonts w:cstheme="minorHAnsi"/>
          <w:sz w:val="24"/>
          <w:szCs w:val="24"/>
        </w:rPr>
      </w:pPr>
      <w:r w:rsidRPr="00F24406">
        <w:rPr>
          <w:rFonts w:cstheme="minorHAnsi"/>
          <w:sz w:val="24"/>
          <w:szCs w:val="24"/>
          <w:lang w:val="es-ES_tradnl" w:bidi="he-IL"/>
        </w:rPr>
        <w:t>2-</w:t>
      </w:r>
      <w:r w:rsidRPr="00F24406">
        <w:rPr>
          <w:rFonts w:cstheme="minorHAnsi"/>
          <w:sz w:val="24"/>
          <w:szCs w:val="24"/>
        </w:rPr>
        <w:t xml:space="preserve"> Freud, Sigmund. (1923) EL YO Y EL ELLO. (Introducción; Prólogo; Consciente e Inconsciente; El yo y el ello; El yo y el superyó). Traducción de Luis López-Ballesteros.</w:t>
      </w:r>
    </w:p>
    <w:p w:rsidR="00F152A1" w:rsidRPr="00F24406" w:rsidRDefault="00F152A1" w:rsidP="00F24406">
      <w:pPr>
        <w:spacing w:after="0" w:line="240" w:lineRule="auto"/>
        <w:contextualSpacing/>
        <w:rPr>
          <w:rFonts w:cstheme="minorHAnsi"/>
          <w:sz w:val="24"/>
          <w:szCs w:val="24"/>
          <w:lang w:val="es-ES_tradnl" w:bidi="he-IL"/>
        </w:rPr>
      </w:pPr>
      <w:r w:rsidRPr="00F24406">
        <w:rPr>
          <w:rFonts w:cstheme="minorHAnsi"/>
          <w:sz w:val="24"/>
          <w:szCs w:val="24"/>
        </w:rPr>
        <w:t xml:space="preserve">3- Lacan, Jacques. (1966) Escritos de Lacan: El estadio del espejo como formador de la función del yo [Je] tal como se nos revela en la experiencia psicoanalítica. Comunicación presentada ante el XVI Congreso Internacional de Psicoanálisis, en </w:t>
      </w:r>
      <w:r w:rsidR="00F24406" w:rsidRPr="00F24406">
        <w:rPr>
          <w:rFonts w:cstheme="minorHAnsi"/>
          <w:sz w:val="24"/>
          <w:szCs w:val="24"/>
        </w:rPr>
        <w:t>Zúrich</w:t>
      </w:r>
      <w:r w:rsidRPr="00F24406">
        <w:rPr>
          <w:rFonts w:cstheme="minorHAnsi"/>
          <w:sz w:val="24"/>
          <w:szCs w:val="24"/>
        </w:rPr>
        <w:t>, el 17 de julio de 1949.</w:t>
      </w:r>
    </w:p>
    <w:p w:rsidR="00F152A1" w:rsidRDefault="00F152A1" w:rsidP="00F24406">
      <w:pPr>
        <w:spacing w:after="0" w:line="240" w:lineRule="auto"/>
        <w:ind w:right="-82"/>
        <w:contextualSpacing/>
        <w:jc w:val="both"/>
        <w:rPr>
          <w:rFonts w:cstheme="minorHAnsi"/>
          <w:sz w:val="24"/>
          <w:szCs w:val="24"/>
        </w:rPr>
      </w:pPr>
    </w:p>
    <w:p w:rsidR="00F24406" w:rsidRPr="00F24406" w:rsidRDefault="00F24406" w:rsidP="00F24406">
      <w:pPr>
        <w:spacing w:after="0" w:line="240" w:lineRule="auto"/>
        <w:ind w:right="-82"/>
        <w:contextualSpacing/>
        <w:jc w:val="both"/>
        <w:rPr>
          <w:rFonts w:cstheme="minorHAnsi"/>
          <w:sz w:val="24"/>
          <w:szCs w:val="24"/>
        </w:rPr>
      </w:pP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t>MÓDULO II. El BLOQUE BIOPOLÍTICO (MICHEL FOUCAULT Y GIORGIO AGAMBEN) Y LA TEORÍA DEL DESEO (GILLES DELEUZE y SCOTT LASH)</w:t>
      </w:r>
    </w:p>
    <w:p w:rsidR="00F24406" w:rsidRDefault="00F24406" w:rsidP="00F24406">
      <w:pPr>
        <w:spacing w:after="0" w:line="240" w:lineRule="auto"/>
        <w:ind w:right="-82"/>
        <w:contextualSpacing/>
        <w:jc w:val="both"/>
        <w:rPr>
          <w:rFonts w:cstheme="minorHAnsi"/>
          <w:b/>
          <w:bCs/>
          <w:color w:val="000000"/>
          <w:sz w:val="24"/>
          <w:szCs w:val="24"/>
        </w:rPr>
      </w:pP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t>Lecturas obligatorias: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1- Foucault, Michel (1978/1989): MICROFISICA DEL PODER. La piqueta, Buenos Aires. (“Nietzsche, la genealogía, la historia”: págs. 7-29) [23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2-</w:t>
      </w:r>
      <w:r w:rsidR="001B5F04" w:rsidRPr="00F24406">
        <w:rPr>
          <w:rFonts w:cstheme="minorHAnsi"/>
          <w:color w:val="000000"/>
          <w:sz w:val="24"/>
          <w:szCs w:val="24"/>
        </w:rPr>
        <w:t xml:space="preserve"> </w:t>
      </w:r>
      <w:r w:rsidRPr="00F24406">
        <w:rPr>
          <w:rFonts w:cstheme="minorHAnsi"/>
          <w:color w:val="000000"/>
          <w:sz w:val="24"/>
          <w:szCs w:val="24"/>
        </w:rPr>
        <w:t>Foucault, Michel (1984/1986): HISTORIA DE LA SEXUALIDAD. Tomo II. Siglo XXI, México. (Introducción: págs. 7-33) [27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3- Agamben, Giorgio (2003/2004): ESTADO DE EXCEPCIÓN. HOMO SACER II, I. Buenos Aires, Adriana Hidalgo ed. (págs. 23-70) [48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4-</w:t>
      </w:r>
      <w:r w:rsidR="001B5F04" w:rsidRPr="00F24406">
        <w:rPr>
          <w:rFonts w:cstheme="minorHAnsi"/>
          <w:color w:val="000000"/>
          <w:sz w:val="24"/>
          <w:szCs w:val="24"/>
        </w:rPr>
        <w:t xml:space="preserve"> </w:t>
      </w:r>
      <w:r w:rsidRPr="00F24406">
        <w:rPr>
          <w:rFonts w:cstheme="minorHAnsi"/>
          <w:color w:val="000000"/>
          <w:sz w:val="24"/>
          <w:szCs w:val="24"/>
        </w:rPr>
        <w:t>Deleuze, Gilles (1968/99): “Introducción”, en; Deleuze, Gilles y Foucault, M. (1995/1999): THEATRUM PHILOSOPHICUM SEGUIDO DE REPETICIÓN Y DIFERENCIA. Anagrama, Barcelona. (Págs. 21-42) (El texto de Deleuze es la introducción A Diferencia y Repetición, publicado originalmente en 1968)</w:t>
      </w:r>
    </w:p>
    <w:p w:rsidR="001B5F04"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sz w:val="24"/>
          <w:szCs w:val="24"/>
        </w:rPr>
        <w:t>5-</w:t>
      </w:r>
      <w:r w:rsidR="001B5F04" w:rsidRPr="00F24406">
        <w:rPr>
          <w:rFonts w:cstheme="minorHAnsi"/>
          <w:sz w:val="24"/>
          <w:szCs w:val="24"/>
        </w:rPr>
        <w:t xml:space="preserve"> </w:t>
      </w:r>
      <w:proofErr w:type="spellStart"/>
      <w:r w:rsidRPr="00F24406">
        <w:rPr>
          <w:rFonts w:cstheme="minorHAnsi"/>
          <w:sz w:val="24"/>
          <w:szCs w:val="24"/>
        </w:rPr>
        <w:t>Lash</w:t>
      </w:r>
      <w:proofErr w:type="spellEnd"/>
      <w:r w:rsidRPr="00F24406">
        <w:rPr>
          <w:rFonts w:cstheme="minorHAnsi"/>
          <w:sz w:val="24"/>
          <w:szCs w:val="24"/>
        </w:rPr>
        <w:t>, Scott (</w:t>
      </w:r>
      <w:r w:rsidRPr="00F24406">
        <w:rPr>
          <w:rFonts w:cstheme="minorHAnsi"/>
          <w:color w:val="000000"/>
          <w:sz w:val="24"/>
          <w:szCs w:val="24"/>
        </w:rPr>
        <w:t>1985/1989): “Posmodernidad y deseo: sobre Foucault, Lyotard, Deleuze, Habermas”. Cap</w:t>
      </w:r>
      <w:r w:rsidR="001B5F04" w:rsidRPr="00F24406">
        <w:rPr>
          <w:rFonts w:cstheme="minorHAnsi"/>
          <w:color w:val="000000"/>
          <w:sz w:val="24"/>
          <w:szCs w:val="24"/>
        </w:rPr>
        <w:t>.</w:t>
      </w:r>
      <w:r w:rsidRPr="00F24406">
        <w:rPr>
          <w:rFonts w:cstheme="minorHAnsi"/>
          <w:color w:val="000000"/>
          <w:sz w:val="24"/>
          <w:szCs w:val="24"/>
        </w:rPr>
        <w:t xml:space="preserve"> 3 en Casullo, N.: EL DEBATE MODERNIDAD-POSMODERNIDAD. Punto Sur, Buenos Aires. (páginas 357-400) [37 págs.]</w:t>
      </w: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lastRenderedPageBreak/>
        <w:t>Lecturas ampliatorias opcionales: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1- Foucault, Michel (1976/1992): Genealogía del racismo. La Plata, Altamira. Lecciones 2 (“Genealogía II: poder, derecho, verdad”), </w:t>
      </w:r>
      <w:r w:rsidR="001B5F04" w:rsidRPr="00F24406">
        <w:rPr>
          <w:rFonts w:cstheme="minorHAnsi"/>
          <w:color w:val="000000"/>
          <w:sz w:val="24"/>
          <w:szCs w:val="24"/>
        </w:rPr>
        <w:t xml:space="preserve">págs. </w:t>
      </w:r>
      <w:r w:rsidRPr="00F24406">
        <w:rPr>
          <w:rFonts w:cstheme="minorHAnsi"/>
          <w:color w:val="000000"/>
          <w:sz w:val="24"/>
          <w:szCs w:val="24"/>
        </w:rPr>
        <w:t>27-40, 11 (“Del poder de la soberanía al poder de la vida” págs. 193-214), y resumen del curso (“Defender la sociedad”, págs. 215-220). [42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2- Foucault, Michel (1970/1980): EL ORDEN DEL DISCURSO –DE LA ARQUEOLOGÍA A LA GENEALOGÍA-. Tusquets, Barcelona. [50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3- Deleuze, Gilles (1987): FOUCAULT. Paidós, Barcelona. [144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4- Deleuze, Gilles (1969/1994): LÓGICA DEL SENTIDO. Paidós, Bs As. (Págs. 68-99, en la edición electrónica que incluimos, 64-178.) [115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5-</w:t>
      </w:r>
      <w:r w:rsidR="001B5F04" w:rsidRPr="00F24406">
        <w:rPr>
          <w:rFonts w:cstheme="minorHAnsi"/>
          <w:color w:val="000000"/>
          <w:sz w:val="24"/>
          <w:szCs w:val="24"/>
        </w:rPr>
        <w:t xml:space="preserve"> </w:t>
      </w:r>
      <w:r w:rsidRPr="00F24406">
        <w:rPr>
          <w:rFonts w:cstheme="minorHAnsi"/>
          <w:color w:val="000000"/>
          <w:sz w:val="24"/>
          <w:szCs w:val="24"/>
        </w:rPr>
        <w:t xml:space="preserve">Deleuze, Gilles (1990/1991): Posdata sobre las sociedades de control. En Ferrer, Ch. (compilador): EL LENGUAJE LIBERTARIO 2. </w:t>
      </w:r>
      <w:proofErr w:type="spellStart"/>
      <w:r w:rsidRPr="00F24406">
        <w:rPr>
          <w:rFonts w:cstheme="minorHAnsi"/>
          <w:color w:val="000000"/>
          <w:sz w:val="24"/>
          <w:szCs w:val="24"/>
        </w:rPr>
        <w:t>Nordan</w:t>
      </w:r>
      <w:proofErr w:type="spellEnd"/>
      <w:r w:rsidRPr="00F24406">
        <w:rPr>
          <w:rFonts w:cstheme="minorHAnsi"/>
          <w:color w:val="000000"/>
          <w:sz w:val="24"/>
          <w:szCs w:val="24"/>
        </w:rPr>
        <w:t>, Montevideo. [4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6-</w:t>
      </w:r>
      <w:r w:rsidR="001B5F04" w:rsidRPr="00F24406">
        <w:rPr>
          <w:rFonts w:cstheme="minorHAnsi"/>
          <w:color w:val="000000"/>
          <w:sz w:val="24"/>
          <w:szCs w:val="24"/>
        </w:rPr>
        <w:t xml:space="preserve"> </w:t>
      </w:r>
      <w:r w:rsidRPr="00F24406">
        <w:rPr>
          <w:rFonts w:cstheme="minorHAnsi"/>
          <w:color w:val="000000"/>
          <w:sz w:val="24"/>
          <w:szCs w:val="24"/>
        </w:rPr>
        <w:t>Deleuze, Gilles (1993/1996): El misterio de Ariadna según Nietzsche. En CRÍTICA Y CLÍNICA. Anagrama, Barcelona. (Págs.140-149.) [10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7- Agamben, Giorgio (1995/2006): HOMO SACER I. EL PODER SOBERANO Y LA NUDA VIDA. Valencia, Pretextos. (págs. 151 a 229) [79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sz w:val="24"/>
          <w:szCs w:val="24"/>
        </w:rPr>
        <w:t xml:space="preserve">8- </w:t>
      </w:r>
      <w:r w:rsidRPr="00F24406">
        <w:rPr>
          <w:rFonts w:cstheme="minorHAnsi"/>
          <w:color w:val="000000"/>
          <w:sz w:val="24"/>
          <w:szCs w:val="24"/>
        </w:rPr>
        <w:t>Agamben, Giorgio</w:t>
      </w:r>
      <w:r w:rsidRPr="00F24406">
        <w:rPr>
          <w:rFonts w:cstheme="minorHAnsi"/>
          <w:sz w:val="24"/>
          <w:szCs w:val="24"/>
        </w:rPr>
        <w:t xml:space="preserve"> (1998/2000): LO QUE QUEDA DE AUSCHWITZ. EL ARCHIVO Y EL TESTIGO. HOMO SACER III. Valencia, Pretextos. (págs. 6 a 22</w:t>
      </w:r>
      <w:r w:rsidRPr="00F24406">
        <w:rPr>
          <w:rFonts w:cstheme="minorHAnsi"/>
          <w:color w:val="000000"/>
          <w:sz w:val="24"/>
          <w:szCs w:val="24"/>
        </w:rPr>
        <w:t>) [17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9- Agamben, Giorgio (1996): “Política del exilio”. En Rev. Archipiélago núm. 26-27: 3-20. [17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10-</w:t>
      </w:r>
      <w:r w:rsidR="001B5F04" w:rsidRPr="00F24406">
        <w:rPr>
          <w:rFonts w:cstheme="minorHAnsi"/>
          <w:color w:val="000000"/>
          <w:sz w:val="24"/>
          <w:szCs w:val="24"/>
        </w:rPr>
        <w:t xml:space="preserve"> </w:t>
      </w:r>
      <w:r w:rsidRPr="00F24406">
        <w:rPr>
          <w:rFonts w:cstheme="minorHAnsi"/>
          <w:color w:val="000000"/>
          <w:sz w:val="24"/>
          <w:szCs w:val="24"/>
        </w:rPr>
        <w:t>Giddens, Anthony (1992/2000): LA TRANSFORMACIÓN DE LA INTIMIDAD: SEXUALIDAD, AMOR Y EROTISMO EN LAS SOCIEDADES MODERNAS. Cátedra, Madrid. (Caps. II, IX y X: págs. 27-40 y 145-183) [53 págs</w:t>
      </w:r>
      <w:r w:rsidR="001B5F04" w:rsidRPr="00F24406">
        <w:rPr>
          <w:rFonts w:cstheme="minorHAnsi"/>
          <w:color w:val="000000"/>
          <w:sz w:val="24"/>
          <w:szCs w:val="24"/>
        </w:rPr>
        <w:t>.</w:t>
      </w:r>
      <w:r w:rsidRPr="00F24406">
        <w:rPr>
          <w:rFonts w:cstheme="minorHAnsi"/>
          <w:color w:val="000000"/>
          <w:sz w:val="24"/>
          <w:szCs w:val="24"/>
        </w:rPr>
        <w:t xml:space="preserve">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11-</w:t>
      </w:r>
      <w:r w:rsidR="001B5F04" w:rsidRPr="00F24406">
        <w:rPr>
          <w:rFonts w:cstheme="minorHAnsi"/>
          <w:color w:val="000000"/>
          <w:sz w:val="24"/>
          <w:szCs w:val="24"/>
        </w:rPr>
        <w:t xml:space="preserve"> </w:t>
      </w:r>
      <w:r w:rsidRPr="00F24406">
        <w:rPr>
          <w:rFonts w:cstheme="minorHAnsi"/>
          <w:color w:val="000000"/>
          <w:sz w:val="24"/>
          <w:szCs w:val="24"/>
        </w:rPr>
        <w:t xml:space="preserve">Nietzsche, Friedrich (original 1887) Genealogía de la Moral. Editorial del Cardo. Argentina. </w:t>
      </w:r>
    </w:p>
    <w:p w:rsidR="00F152A1" w:rsidRDefault="00F152A1" w:rsidP="00F24406">
      <w:pPr>
        <w:spacing w:after="0" w:line="240" w:lineRule="auto"/>
        <w:ind w:right="-82"/>
        <w:contextualSpacing/>
        <w:jc w:val="both"/>
        <w:rPr>
          <w:rFonts w:cstheme="minorHAnsi"/>
          <w:color w:val="000000"/>
          <w:sz w:val="24"/>
          <w:szCs w:val="24"/>
        </w:rPr>
      </w:pPr>
    </w:p>
    <w:p w:rsidR="007C4FEA" w:rsidRPr="00F24406" w:rsidRDefault="007C4FEA" w:rsidP="00F24406">
      <w:pPr>
        <w:spacing w:after="0" w:line="240" w:lineRule="auto"/>
        <w:ind w:right="-82"/>
        <w:contextualSpacing/>
        <w:jc w:val="both"/>
        <w:rPr>
          <w:rFonts w:cstheme="minorHAnsi"/>
          <w:color w:val="000000"/>
          <w:sz w:val="24"/>
          <w:szCs w:val="24"/>
        </w:rPr>
      </w:pP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t>MÓDULO III. EL PENSAMIENTO POSMODERNISTA: LYOTARD Y DERRIDA.</w:t>
      </w:r>
    </w:p>
    <w:p w:rsidR="00F24406" w:rsidRDefault="00F24406" w:rsidP="00F24406">
      <w:pPr>
        <w:spacing w:after="0" w:line="240" w:lineRule="auto"/>
        <w:ind w:right="-82"/>
        <w:contextualSpacing/>
        <w:jc w:val="both"/>
        <w:rPr>
          <w:rFonts w:cstheme="minorHAnsi"/>
          <w:b/>
          <w:bCs/>
          <w:color w:val="000000"/>
          <w:sz w:val="24"/>
          <w:szCs w:val="24"/>
        </w:rPr>
      </w:pP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t>Lecturas obligatorias: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1-</w:t>
      </w:r>
      <w:r w:rsidR="001B5F04" w:rsidRPr="00F24406">
        <w:rPr>
          <w:rFonts w:cstheme="minorHAnsi"/>
          <w:color w:val="000000"/>
          <w:sz w:val="24"/>
          <w:szCs w:val="24"/>
        </w:rPr>
        <w:t xml:space="preserve"> </w:t>
      </w:r>
      <w:r w:rsidRPr="00F24406">
        <w:rPr>
          <w:rFonts w:cstheme="minorHAnsi"/>
          <w:color w:val="000000"/>
          <w:sz w:val="24"/>
          <w:szCs w:val="24"/>
        </w:rPr>
        <w:t>Lyotard, J. (1979/1986): LA CONDICION POSMODERNA. Cátedra, Madrid. [libro completo, 49 págs</w:t>
      </w:r>
      <w:r w:rsidR="001B5F04" w:rsidRPr="00F24406">
        <w:rPr>
          <w:rFonts w:cstheme="minorHAnsi"/>
          <w:color w:val="000000"/>
          <w:sz w:val="24"/>
          <w:szCs w:val="24"/>
        </w:rPr>
        <w:t>.</w:t>
      </w:r>
      <w:r w:rsidRPr="00F24406">
        <w:rPr>
          <w:rFonts w:cstheme="minorHAnsi"/>
          <w:color w:val="000000"/>
          <w:sz w:val="24"/>
          <w:szCs w:val="24"/>
        </w:rPr>
        <w:t xml:space="preserve">] </w:t>
      </w:r>
    </w:p>
    <w:p w:rsidR="00F152A1" w:rsidRPr="00F24406" w:rsidRDefault="00F152A1" w:rsidP="00F24406">
      <w:pPr>
        <w:pStyle w:val="Ttulo1"/>
        <w:shd w:val="clear" w:color="auto" w:fill="FFFFFF"/>
        <w:spacing w:before="0" w:beforeAutospacing="0" w:after="0" w:afterAutospacing="0"/>
        <w:contextualSpacing/>
        <w:jc w:val="both"/>
        <w:rPr>
          <w:rFonts w:asciiTheme="minorHAnsi" w:hAnsiTheme="minorHAnsi" w:cstheme="minorHAnsi"/>
          <w:b w:val="0"/>
          <w:color w:val="000000"/>
          <w:sz w:val="24"/>
          <w:szCs w:val="24"/>
        </w:rPr>
      </w:pPr>
      <w:r w:rsidRPr="00F24406">
        <w:rPr>
          <w:rFonts w:asciiTheme="minorHAnsi" w:hAnsiTheme="minorHAnsi" w:cstheme="minorHAnsi"/>
          <w:b w:val="0"/>
          <w:color w:val="000000"/>
          <w:sz w:val="24"/>
          <w:szCs w:val="24"/>
        </w:rPr>
        <w:t xml:space="preserve">2- Derrida, Jacques (1993/1995) ESPECTROS DE MARX. EL ESTADO DE LA DEUDA, EL TRABAJO Y LA NUEVA INTERNACIONAL. Colección Estructuras y Procesos. Serie Filosofía. Trota, Madrid. (Capítulo 1. </w:t>
      </w:r>
      <w:proofErr w:type="spellStart"/>
      <w:r w:rsidRPr="00F24406">
        <w:rPr>
          <w:rFonts w:asciiTheme="minorHAnsi" w:hAnsiTheme="minorHAnsi" w:cstheme="minorHAnsi"/>
          <w:b w:val="0"/>
          <w:color w:val="000000"/>
          <w:sz w:val="24"/>
          <w:szCs w:val="24"/>
        </w:rPr>
        <w:t>Inyucciones</w:t>
      </w:r>
      <w:proofErr w:type="spellEnd"/>
      <w:r w:rsidRPr="00F24406">
        <w:rPr>
          <w:rFonts w:asciiTheme="minorHAnsi" w:hAnsiTheme="minorHAnsi" w:cstheme="minorHAnsi"/>
          <w:b w:val="0"/>
          <w:color w:val="000000"/>
          <w:sz w:val="24"/>
          <w:szCs w:val="24"/>
        </w:rPr>
        <w:t xml:space="preserve"> de Marx). </w:t>
      </w:r>
    </w:p>
    <w:p w:rsidR="00F152A1" w:rsidRPr="00F24406" w:rsidRDefault="00F152A1" w:rsidP="00F24406">
      <w:pPr>
        <w:pStyle w:val="Ttulo1"/>
        <w:shd w:val="clear" w:color="auto" w:fill="FFFFFF"/>
        <w:spacing w:before="0" w:beforeAutospacing="0" w:after="0" w:afterAutospacing="0"/>
        <w:contextualSpacing/>
        <w:jc w:val="both"/>
        <w:rPr>
          <w:rFonts w:asciiTheme="minorHAnsi" w:hAnsiTheme="minorHAnsi" w:cstheme="minorHAnsi"/>
          <w:b w:val="0"/>
          <w:i/>
          <w:iCs/>
          <w:color w:val="1F130F"/>
          <w:sz w:val="24"/>
          <w:szCs w:val="24"/>
        </w:rPr>
      </w:pPr>
      <w:r w:rsidRPr="00F24406">
        <w:rPr>
          <w:rFonts w:asciiTheme="minorHAnsi" w:hAnsiTheme="minorHAnsi" w:cstheme="minorHAnsi"/>
          <w:b w:val="0"/>
          <w:color w:val="000000"/>
          <w:sz w:val="24"/>
          <w:szCs w:val="24"/>
        </w:rPr>
        <w:t xml:space="preserve">3- Derrida, Jacques (1987/1989) </w:t>
      </w:r>
      <w:r w:rsidRPr="00F24406">
        <w:rPr>
          <w:rFonts w:asciiTheme="minorHAnsi" w:hAnsiTheme="minorHAnsi" w:cstheme="minorHAnsi"/>
          <w:b w:val="0"/>
          <w:spacing w:val="-6"/>
          <w:sz w:val="24"/>
          <w:szCs w:val="24"/>
          <w:shd w:val="clear" w:color="auto" w:fill="FFFFFF"/>
        </w:rPr>
        <w:t>LA DESCONSTRUCCIÓN EN LAS FRONTERAS DE LA FILOSOFÍA: LA RETIRADA DE LA METÁFORA.</w:t>
      </w:r>
      <w:r w:rsidRPr="00F24406">
        <w:rPr>
          <w:rFonts w:asciiTheme="minorHAnsi" w:hAnsiTheme="minorHAnsi" w:cstheme="minorHAnsi"/>
          <w:b w:val="0"/>
          <w:color w:val="000000"/>
          <w:sz w:val="24"/>
          <w:szCs w:val="24"/>
        </w:rPr>
        <w:t xml:space="preserve"> (Cap. La Retirada de la Metáfora). Paidós Ibérica, Barcelona. </w:t>
      </w:r>
    </w:p>
    <w:p w:rsidR="001B5F04" w:rsidRPr="00F24406" w:rsidRDefault="001B5F04" w:rsidP="00F24406">
      <w:pPr>
        <w:spacing w:after="0" w:line="240" w:lineRule="auto"/>
        <w:ind w:right="-82"/>
        <w:contextualSpacing/>
        <w:jc w:val="both"/>
        <w:rPr>
          <w:rFonts w:cstheme="minorHAnsi"/>
          <w:b/>
          <w:bCs/>
          <w:color w:val="000000"/>
          <w:sz w:val="24"/>
          <w:szCs w:val="24"/>
        </w:rPr>
      </w:pP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t>Lecturas ampliatorias opcionales: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1-Lyotard, Jean. (1964/1989): PORQUÉ FILOSOFAR. Paidós, Buenos Aires. (1era Conferencia “Porqué desear”, págs. 79-101) [40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2-Derrida, Jacques (1967a/1998): DE LA GRAMATOLOGÍA. (primera parte, subtítulo “El fin del libro y el comienzo de la escritura”, págs. 11-35) [26 págs. en archivo de </w:t>
      </w:r>
      <w:proofErr w:type="spellStart"/>
      <w:r w:rsidRPr="00F24406">
        <w:rPr>
          <w:rFonts w:cstheme="minorHAnsi"/>
          <w:i/>
          <w:color w:val="000000"/>
          <w:sz w:val="24"/>
          <w:szCs w:val="24"/>
        </w:rPr>
        <w:t>word</w:t>
      </w:r>
      <w:proofErr w:type="spellEnd"/>
      <w:r w:rsidRPr="00F24406">
        <w:rPr>
          <w:rFonts w:cstheme="minorHAnsi"/>
          <w:color w:val="000000"/>
          <w:sz w:val="24"/>
          <w:szCs w:val="24"/>
        </w:rPr>
        <w:t xml:space="preserve"> convertido a PDF]</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3-Derrida, Jacques (1967b/1989[traducido al español]): “La estructura, el signo y el juego en el discurso de las ciencias humanas”. Artículo capítulo 10 en LA ESCRITURA Y LA DIFERENCIA. (págs. 383-407) </w:t>
      </w:r>
      <w:proofErr w:type="spellStart"/>
      <w:r w:rsidRPr="00F24406">
        <w:rPr>
          <w:rFonts w:cstheme="minorHAnsi"/>
          <w:color w:val="000000"/>
          <w:sz w:val="24"/>
          <w:szCs w:val="24"/>
        </w:rPr>
        <w:t>Anthropos</w:t>
      </w:r>
      <w:proofErr w:type="spellEnd"/>
      <w:r w:rsidRPr="00F24406">
        <w:rPr>
          <w:rFonts w:cstheme="minorHAnsi"/>
          <w:color w:val="000000"/>
          <w:sz w:val="24"/>
          <w:szCs w:val="24"/>
        </w:rPr>
        <w:t>, Barcelona. [25 págs. de lectura].</w:t>
      </w:r>
    </w:p>
    <w:p w:rsidR="00F152A1" w:rsidRDefault="00F152A1" w:rsidP="00F24406">
      <w:pPr>
        <w:spacing w:after="0" w:line="240" w:lineRule="auto"/>
        <w:ind w:right="-82"/>
        <w:contextualSpacing/>
        <w:jc w:val="both"/>
        <w:rPr>
          <w:rFonts w:cstheme="minorHAnsi"/>
          <w:sz w:val="24"/>
          <w:szCs w:val="24"/>
        </w:rPr>
      </w:pPr>
    </w:p>
    <w:p w:rsidR="00F24406" w:rsidRPr="00F24406" w:rsidRDefault="00F24406" w:rsidP="00F24406">
      <w:pPr>
        <w:spacing w:after="0" w:line="240" w:lineRule="auto"/>
        <w:ind w:right="-82"/>
        <w:contextualSpacing/>
        <w:jc w:val="both"/>
        <w:rPr>
          <w:rFonts w:cstheme="minorHAnsi"/>
          <w:sz w:val="24"/>
          <w:szCs w:val="24"/>
        </w:rPr>
      </w:pPr>
    </w:p>
    <w:p w:rsidR="00F152A1" w:rsidRPr="00F24406" w:rsidRDefault="00F152A1" w:rsidP="00F24406">
      <w:pPr>
        <w:spacing w:after="0" w:line="240" w:lineRule="auto"/>
        <w:ind w:right="-82"/>
        <w:contextualSpacing/>
        <w:jc w:val="both"/>
        <w:rPr>
          <w:rFonts w:cstheme="minorHAnsi"/>
          <w:b/>
          <w:bCs/>
          <w:sz w:val="24"/>
          <w:szCs w:val="24"/>
        </w:rPr>
      </w:pPr>
      <w:r w:rsidRPr="00F24406">
        <w:rPr>
          <w:rFonts w:cstheme="minorHAnsi"/>
          <w:b/>
          <w:bCs/>
          <w:sz w:val="24"/>
          <w:szCs w:val="24"/>
        </w:rPr>
        <w:lastRenderedPageBreak/>
        <w:t xml:space="preserve">MÓDULO IV. LA POLÍTICA CONTEMPORÁNEA: LA TEORÍA DEL RECONOCIMIENTO Y LA REDISTRIBUCIÓN. </w:t>
      </w:r>
    </w:p>
    <w:p w:rsidR="00F24406" w:rsidRDefault="00F24406" w:rsidP="00F24406">
      <w:pPr>
        <w:spacing w:after="0" w:line="240" w:lineRule="auto"/>
        <w:ind w:right="-82"/>
        <w:contextualSpacing/>
        <w:jc w:val="both"/>
        <w:rPr>
          <w:rFonts w:cstheme="minorHAnsi"/>
          <w:b/>
          <w:bCs/>
          <w:sz w:val="24"/>
          <w:szCs w:val="24"/>
        </w:rPr>
      </w:pPr>
    </w:p>
    <w:p w:rsidR="00F152A1" w:rsidRPr="00F24406" w:rsidRDefault="00F152A1" w:rsidP="00F24406">
      <w:pPr>
        <w:spacing w:after="0" w:line="240" w:lineRule="auto"/>
        <w:ind w:right="-82"/>
        <w:contextualSpacing/>
        <w:jc w:val="both"/>
        <w:rPr>
          <w:rFonts w:cstheme="minorHAnsi"/>
          <w:b/>
          <w:bCs/>
          <w:sz w:val="24"/>
          <w:szCs w:val="24"/>
        </w:rPr>
      </w:pPr>
      <w:r w:rsidRPr="00F24406">
        <w:rPr>
          <w:rFonts w:cstheme="minorHAnsi"/>
          <w:b/>
          <w:bCs/>
          <w:sz w:val="24"/>
          <w:szCs w:val="24"/>
        </w:rPr>
        <w:t>Lecturas obligatorias: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sz w:val="24"/>
          <w:szCs w:val="24"/>
        </w:rPr>
        <w:t>1-Honneth, Axel (1992/1997): LA LUCHA POR EL RECONOCIMIENTO. Crítica, Barcelona. (Caps. 5 y 6, págs. 115-169</w:t>
      </w:r>
      <w:r w:rsidRPr="00F24406">
        <w:rPr>
          <w:rFonts w:cstheme="minorHAnsi"/>
          <w:color w:val="000000"/>
          <w:sz w:val="24"/>
          <w:szCs w:val="24"/>
        </w:rPr>
        <w:t>). [55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2-Fraser, Nancy (1997): IUSTITIA INTERRUPTA: REFLEXIONES CRÍTICAS DESDE LA POSICIÓN POSTSOCIALISTA. Siglo del Hombre, Bogotá. (Capítulo 1., páginas 17-53) [37 págs. de lectura]</w:t>
      </w:r>
    </w:p>
    <w:p w:rsidR="001B5F04" w:rsidRPr="00F24406" w:rsidRDefault="001B5F04" w:rsidP="00F24406">
      <w:pPr>
        <w:spacing w:after="0" w:line="240" w:lineRule="auto"/>
        <w:ind w:right="-82"/>
        <w:contextualSpacing/>
        <w:jc w:val="both"/>
        <w:rPr>
          <w:rFonts w:cstheme="minorHAnsi"/>
          <w:b/>
          <w:bCs/>
          <w:color w:val="000000"/>
          <w:sz w:val="24"/>
          <w:szCs w:val="24"/>
        </w:rPr>
      </w:pP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t>Lecturas ampliatorias</w:t>
      </w:r>
      <w:r w:rsidR="001B5F04" w:rsidRPr="00F24406">
        <w:rPr>
          <w:rFonts w:cstheme="minorHAnsi"/>
          <w:b/>
          <w:bCs/>
          <w:color w:val="000000"/>
          <w:sz w:val="24"/>
          <w:szCs w:val="24"/>
        </w:rPr>
        <w:t xml:space="preserve"> opcionales</w:t>
      </w:r>
      <w:r w:rsidRPr="00F24406">
        <w:rPr>
          <w:rFonts w:cstheme="minorHAnsi"/>
          <w:b/>
          <w:bCs/>
          <w:color w:val="000000"/>
          <w:sz w:val="24"/>
          <w:szCs w:val="24"/>
        </w:rPr>
        <w:t>:</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1-Fraser, Nancy (2000): Nuevas reflexiones sobre el reconocimiento. En New </w:t>
      </w:r>
      <w:proofErr w:type="spellStart"/>
      <w:r w:rsidRPr="00F24406">
        <w:rPr>
          <w:rFonts w:cstheme="minorHAnsi"/>
          <w:color w:val="000000"/>
          <w:sz w:val="24"/>
          <w:szCs w:val="24"/>
        </w:rPr>
        <w:t>Left</w:t>
      </w:r>
      <w:proofErr w:type="spellEnd"/>
      <w:r w:rsidRPr="00F24406">
        <w:rPr>
          <w:rFonts w:cstheme="minorHAnsi"/>
          <w:color w:val="000000"/>
          <w:sz w:val="24"/>
          <w:szCs w:val="24"/>
        </w:rPr>
        <w:t xml:space="preserve"> </w:t>
      </w:r>
      <w:proofErr w:type="spellStart"/>
      <w:r w:rsidRPr="00F24406">
        <w:rPr>
          <w:rFonts w:cstheme="minorHAnsi"/>
          <w:color w:val="000000"/>
          <w:sz w:val="24"/>
          <w:szCs w:val="24"/>
        </w:rPr>
        <w:t>Review</w:t>
      </w:r>
      <w:proofErr w:type="spellEnd"/>
      <w:r w:rsidRPr="00F24406">
        <w:rPr>
          <w:rFonts w:cstheme="minorHAnsi"/>
          <w:color w:val="000000"/>
          <w:sz w:val="24"/>
          <w:szCs w:val="24"/>
        </w:rPr>
        <w:t xml:space="preserve">, número 4, setiembre-octubre: 55-68. [14 </w:t>
      </w:r>
      <w:proofErr w:type="spellStart"/>
      <w:r w:rsidRPr="00F24406">
        <w:rPr>
          <w:rFonts w:cstheme="minorHAnsi"/>
          <w:color w:val="000000"/>
          <w:sz w:val="24"/>
          <w:szCs w:val="24"/>
        </w:rPr>
        <w:t>págs</w:t>
      </w:r>
      <w:proofErr w:type="spellEnd"/>
      <w:r w:rsidRPr="00F24406">
        <w:rPr>
          <w:rFonts w:cstheme="minorHAnsi"/>
          <w:color w:val="000000"/>
          <w:sz w:val="24"/>
          <w:szCs w:val="24"/>
        </w:rPr>
        <w:t xml:space="preserve">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2-Fraser, Nancy (1997): IUSTITIA INTERRUPTA: REFLEXIONES CRÍTICAS DESDE LA POSICIÓN POSTSOCIALISTA. Siglo del Hombre, Bogotá. (Capítulos 3 y 7: págs. 95-133 y 229-250.) [60 págs. de lectura]</w:t>
      </w:r>
    </w:p>
    <w:p w:rsidR="00F152A1" w:rsidRPr="00F24406" w:rsidRDefault="00F152A1" w:rsidP="00F24406">
      <w:pPr>
        <w:spacing w:after="0" w:line="240" w:lineRule="auto"/>
        <w:ind w:right="-82"/>
        <w:contextualSpacing/>
        <w:jc w:val="both"/>
        <w:rPr>
          <w:rFonts w:cstheme="minorHAnsi"/>
          <w:bCs/>
          <w:color w:val="000000"/>
          <w:sz w:val="24"/>
          <w:szCs w:val="24"/>
        </w:rPr>
      </w:pPr>
      <w:r w:rsidRPr="00F24406">
        <w:rPr>
          <w:rFonts w:cstheme="minorHAnsi"/>
          <w:bCs/>
          <w:color w:val="000000"/>
          <w:sz w:val="24"/>
          <w:szCs w:val="24"/>
        </w:rPr>
        <w:t xml:space="preserve">3-Fraser, Nancy y Honneth, Axel (2006): ¿REDISTRIBUCIÓN O RECONOCIMIENTO?: UN DEBATE POLÍTICO-FILOSÓFICO. Ediciones Morata, Madrid. (Capítulos 1 al 4: págs. 13-197) [184 págs. de lectura] </w:t>
      </w:r>
    </w:p>
    <w:p w:rsidR="00F152A1" w:rsidRDefault="00F152A1" w:rsidP="00F24406">
      <w:pPr>
        <w:spacing w:after="0" w:line="240" w:lineRule="auto"/>
        <w:ind w:right="-82"/>
        <w:contextualSpacing/>
        <w:jc w:val="both"/>
        <w:rPr>
          <w:rFonts w:cstheme="minorHAnsi"/>
          <w:b/>
          <w:bCs/>
          <w:color w:val="000000"/>
          <w:sz w:val="24"/>
          <w:szCs w:val="24"/>
        </w:rPr>
      </w:pPr>
    </w:p>
    <w:p w:rsidR="00F24406" w:rsidRDefault="00F24406" w:rsidP="00F24406">
      <w:pPr>
        <w:spacing w:after="0" w:line="240" w:lineRule="auto"/>
        <w:ind w:right="-82"/>
        <w:contextualSpacing/>
        <w:jc w:val="both"/>
        <w:rPr>
          <w:rFonts w:cstheme="minorHAnsi"/>
          <w:b/>
          <w:bCs/>
          <w:color w:val="000000"/>
          <w:sz w:val="24"/>
          <w:szCs w:val="24"/>
        </w:rPr>
      </w:pPr>
    </w:p>
    <w:p w:rsidR="00F152A1" w:rsidRPr="00F24406" w:rsidRDefault="00F152A1" w:rsidP="00F24406">
      <w:pPr>
        <w:spacing w:after="0" w:line="240" w:lineRule="auto"/>
        <w:ind w:right="-82"/>
        <w:contextualSpacing/>
        <w:jc w:val="both"/>
        <w:rPr>
          <w:rFonts w:cstheme="minorHAnsi"/>
          <w:bCs/>
          <w:color w:val="000000"/>
          <w:sz w:val="24"/>
          <w:szCs w:val="24"/>
        </w:rPr>
      </w:pPr>
      <w:r w:rsidRPr="00F24406">
        <w:rPr>
          <w:rFonts w:cstheme="minorHAnsi"/>
          <w:b/>
          <w:bCs/>
          <w:color w:val="000000"/>
          <w:sz w:val="24"/>
          <w:szCs w:val="24"/>
        </w:rPr>
        <w:t xml:space="preserve">MÓDULO V. </w:t>
      </w:r>
      <w:r w:rsidRPr="00F24406">
        <w:rPr>
          <w:rFonts w:cstheme="minorHAnsi"/>
          <w:b/>
          <w:sz w:val="24"/>
          <w:szCs w:val="24"/>
        </w:rPr>
        <w:t>LA LICUEFACCIÓN DE LA MODERNIDAD Y LA LUCHA POLÍTICA DE LOS CUERPOS EN EL ESPACIO</w:t>
      </w:r>
    </w:p>
    <w:p w:rsidR="00F24406" w:rsidRDefault="00F24406" w:rsidP="00F24406">
      <w:pPr>
        <w:spacing w:after="0" w:line="240" w:lineRule="auto"/>
        <w:ind w:right="-82"/>
        <w:contextualSpacing/>
        <w:jc w:val="both"/>
        <w:rPr>
          <w:rFonts w:cstheme="minorHAnsi"/>
          <w:b/>
          <w:bCs/>
          <w:color w:val="000000"/>
          <w:sz w:val="24"/>
          <w:szCs w:val="24"/>
        </w:rPr>
      </w:pP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t>Lecturas obligatorias: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1-Bauman, Zygmunt (2000/2002): MODERNIDAD LÍQUIDA. </w:t>
      </w:r>
      <w:r w:rsidRPr="00F24406">
        <w:rPr>
          <w:rFonts w:cstheme="minorHAnsi"/>
          <w:color w:val="000000"/>
          <w:sz w:val="24"/>
          <w:szCs w:val="24"/>
          <w:lang w:val="en-US"/>
        </w:rPr>
        <w:t xml:space="preserve">Polity Press y Blackwell Publishers </w:t>
      </w:r>
      <w:proofErr w:type="spellStart"/>
      <w:r w:rsidRPr="00F24406">
        <w:rPr>
          <w:rFonts w:cstheme="minorHAnsi"/>
          <w:color w:val="000000"/>
          <w:sz w:val="24"/>
          <w:szCs w:val="24"/>
          <w:lang w:val="en-US"/>
        </w:rPr>
        <w:t>lmtda</w:t>
      </w:r>
      <w:proofErr w:type="spellEnd"/>
      <w:r w:rsidRPr="00F24406">
        <w:rPr>
          <w:rFonts w:cstheme="minorHAnsi"/>
          <w:color w:val="000000"/>
          <w:sz w:val="24"/>
          <w:szCs w:val="24"/>
          <w:lang w:val="en-US"/>
        </w:rPr>
        <w:t xml:space="preserve">//FCE Argentina S.A., Cambridge//Buenos Aires. </w:t>
      </w:r>
      <w:r w:rsidRPr="00F24406">
        <w:rPr>
          <w:rFonts w:cstheme="minorHAnsi"/>
          <w:color w:val="000000"/>
          <w:sz w:val="24"/>
          <w:szCs w:val="24"/>
        </w:rPr>
        <w:t xml:space="preserve">(Prólogo “Acerca de lo leve y lo líquido”; cap. 2 </w:t>
      </w:r>
      <w:proofErr w:type="spellStart"/>
      <w:r w:rsidRPr="00F24406">
        <w:rPr>
          <w:rFonts w:cstheme="minorHAnsi"/>
          <w:color w:val="000000"/>
          <w:sz w:val="24"/>
          <w:szCs w:val="24"/>
        </w:rPr>
        <w:t>subítems</w:t>
      </w:r>
      <w:proofErr w:type="spellEnd"/>
      <w:r w:rsidRPr="00F24406">
        <w:rPr>
          <w:rFonts w:cstheme="minorHAnsi"/>
          <w:color w:val="000000"/>
          <w:sz w:val="24"/>
          <w:szCs w:val="24"/>
        </w:rPr>
        <w:t xml:space="preserve"> “El cuerpo del consumidor”, “La compra como rito de exorcismo”, “Libres para comprar” y “Divididos, compramos”; </w:t>
      </w:r>
      <w:r w:rsidR="001B5F04" w:rsidRPr="00F24406">
        <w:rPr>
          <w:rFonts w:cstheme="minorHAnsi"/>
          <w:color w:val="000000"/>
          <w:sz w:val="24"/>
          <w:szCs w:val="24"/>
        </w:rPr>
        <w:t>págs.</w:t>
      </w:r>
      <w:r w:rsidRPr="00F24406">
        <w:rPr>
          <w:rFonts w:cstheme="minorHAnsi"/>
          <w:color w:val="000000"/>
          <w:sz w:val="24"/>
          <w:szCs w:val="24"/>
        </w:rPr>
        <w:t xml:space="preserve"> 7-21, 82-97, 99-132.) [61 págs</w:t>
      </w:r>
      <w:r w:rsidR="001B5F04" w:rsidRPr="00F24406">
        <w:rPr>
          <w:rFonts w:cstheme="minorHAnsi"/>
          <w:color w:val="000000"/>
          <w:sz w:val="24"/>
          <w:szCs w:val="24"/>
        </w:rPr>
        <w:t>.</w:t>
      </w:r>
      <w:r w:rsidRPr="00F24406">
        <w:rPr>
          <w:rFonts w:cstheme="minorHAnsi"/>
          <w:color w:val="000000"/>
          <w:sz w:val="24"/>
          <w:szCs w:val="24"/>
        </w:rPr>
        <w:t xml:space="preserve">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2- Butler, Judith (2000): CUERPOS ALIADOS Y LUCHA POLÍTICA. HACIA UNA TEORÍA PERFRMATIVA DE</w:t>
      </w:r>
      <w:r w:rsidR="001B5F04" w:rsidRPr="00F24406">
        <w:rPr>
          <w:rFonts w:cstheme="minorHAnsi"/>
          <w:color w:val="000000"/>
          <w:sz w:val="24"/>
          <w:szCs w:val="24"/>
        </w:rPr>
        <w:t xml:space="preserve"> </w:t>
      </w:r>
      <w:r w:rsidRPr="00F24406">
        <w:rPr>
          <w:rFonts w:cstheme="minorHAnsi"/>
          <w:color w:val="000000"/>
          <w:sz w:val="24"/>
          <w:szCs w:val="24"/>
        </w:rPr>
        <w:t>LA ASAMBLEA. (Cap. 2. Cuerpos en alianza y la política de la calle). PAIDÓS: Buenos Aires. [31 págs. de lectura]</w:t>
      </w:r>
    </w:p>
    <w:p w:rsidR="001B5F04" w:rsidRPr="00F24406" w:rsidRDefault="001B5F04" w:rsidP="00F24406">
      <w:pPr>
        <w:spacing w:after="0" w:line="240" w:lineRule="auto"/>
        <w:ind w:right="-82"/>
        <w:contextualSpacing/>
        <w:jc w:val="both"/>
        <w:rPr>
          <w:rFonts w:cstheme="minorHAnsi"/>
          <w:b/>
          <w:bCs/>
          <w:sz w:val="24"/>
          <w:szCs w:val="24"/>
        </w:rPr>
      </w:pPr>
    </w:p>
    <w:p w:rsidR="00F152A1" w:rsidRPr="00F24406" w:rsidRDefault="00F152A1" w:rsidP="00F24406">
      <w:pPr>
        <w:spacing w:after="0" w:line="240" w:lineRule="auto"/>
        <w:ind w:right="-82"/>
        <w:contextualSpacing/>
        <w:jc w:val="both"/>
        <w:rPr>
          <w:rFonts w:cstheme="minorHAnsi"/>
          <w:b/>
          <w:bCs/>
          <w:sz w:val="24"/>
          <w:szCs w:val="24"/>
        </w:rPr>
      </w:pPr>
      <w:r w:rsidRPr="00F24406">
        <w:rPr>
          <w:rFonts w:cstheme="minorHAnsi"/>
          <w:b/>
          <w:bCs/>
          <w:sz w:val="24"/>
          <w:szCs w:val="24"/>
        </w:rPr>
        <w:t>Lecturas ampliatorias</w:t>
      </w:r>
      <w:r w:rsidR="001B5F04" w:rsidRPr="00F24406">
        <w:rPr>
          <w:rFonts w:cstheme="minorHAnsi"/>
          <w:b/>
          <w:bCs/>
          <w:sz w:val="24"/>
          <w:szCs w:val="24"/>
        </w:rPr>
        <w:t xml:space="preserve"> opcionales</w:t>
      </w:r>
      <w:r w:rsidRPr="00F24406">
        <w:rPr>
          <w:rFonts w:cstheme="minorHAnsi"/>
          <w:b/>
          <w:bCs/>
          <w:sz w:val="24"/>
          <w:szCs w:val="24"/>
        </w:rPr>
        <w:t>:</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sz w:val="24"/>
          <w:szCs w:val="24"/>
        </w:rPr>
        <w:t xml:space="preserve">1- Bauman, Zygmunt (2005/2008): ARCHIPIÉLAGO DE EXCEPCIONES. Cambridge, </w:t>
      </w:r>
      <w:proofErr w:type="spellStart"/>
      <w:r w:rsidRPr="00F24406">
        <w:rPr>
          <w:rFonts w:cstheme="minorHAnsi"/>
          <w:sz w:val="24"/>
          <w:szCs w:val="24"/>
        </w:rPr>
        <w:t>Polity</w:t>
      </w:r>
      <w:proofErr w:type="spellEnd"/>
      <w:r w:rsidRPr="00F24406">
        <w:rPr>
          <w:rFonts w:cstheme="minorHAnsi"/>
          <w:sz w:val="24"/>
          <w:szCs w:val="24"/>
        </w:rPr>
        <w:t xml:space="preserve">//Buenos Aires-Madrid, Katz </w:t>
      </w:r>
      <w:proofErr w:type="spellStart"/>
      <w:r w:rsidRPr="00F24406">
        <w:rPr>
          <w:rFonts w:cstheme="minorHAnsi"/>
          <w:sz w:val="24"/>
          <w:szCs w:val="24"/>
        </w:rPr>
        <w:t>Barpal</w:t>
      </w:r>
      <w:proofErr w:type="spellEnd"/>
      <w:r w:rsidRPr="00F24406">
        <w:rPr>
          <w:rFonts w:cstheme="minorHAnsi"/>
          <w:sz w:val="24"/>
          <w:szCs w:val="24"/>
        </w:rPr>
        <w:t xml:space="preserve"> eds. (</w:t>
      </w:r>
      <w:proofErr w:type="spellStart"/>
      <w:r w:rsidRPr="00F24406">
        <w:rPr>
          <w:rFonts w:cstheme="minorHAnsi"/>
          <w:sz w:val="24"/>
          <w:szCs w:val="24"/>
        </w:rPr>
        <w:t>Págs</w:t>
      </w:r>
      <w:proofErr w:type="spellEnd"/>
      <w:r w:rsidRPr="00F24406">
        <w:rPr>
          <w:rFonts w:cstheme="minorHAnsi"/>
          <w:sz w:val="24"/>
          <w:szCs w:val="24"/>
        </w:rPr>
        <w:t xml:space="preserve"> 9-106, no va el comentario de Agamben). </w:t>
      </w:r>
      <w:r w:rsidRPr="00F24406">
        <w:rPr>
          <w:rFonts w:cstheme="minorHAnsi"/>
          <w:color w:val="000000"/>
          <w:sz w:val="24"/>
          <w:szCs w:val="24"/>
        </w:rPr>
        <w:t>[98 págs.]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2- Iker Seisdedos (19/8/2012): “Da la impresión de que todo anda fuera de control” Entrevista a Bauman en sección Cultura del diario español El País. [3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3- Butler, Judith (2002): CUERPOS QUE IMPORTAN. SOBRE LOS LÍMITES MATERIALES Y DISCURSIVOS DEL “SEXO”. PAIDÓS: Buenos Aires.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4- Butler, Judith (2000) “El marxismo y lo meramente cultural”. </w:t>
      </w:r>
      <w:r w:rsidRPr="00F24406">
        <w:rPr>
          <w:rFonts w:cstheme="minorHAnsi"/>
          <w:color w:val="000000"/>
          <w:sz w:val="24"/>
          <w:szCs w:val="24"/>
          <w:lang w:val="en-GB"/>
        </w:rPr>
        <w:t>New Left Review n. 2, Madrid, mayo/</w:t>
      </w:r>
      <w:proofErr w:type="spellStart"/>
      <w:r w:rsidRPr="00F24406">
        <w:rPr>
          <w:rFonts w:cstheme="minorHAnsi"/>
          <w:color w:val="000000"/>
          <w:sz w:val="24"/>
          <w:szCs w:val="24"/>
          <w:lang w:val="en-GB"/>
        </w:rPr>
        <w:t>jun</w:t>
      </w:r>
      <w:proofErr w:type="spellEnd"/>
      <w:r w:rsidRPr="00F24406">
        <w:rPr>
          <w:rFonts w:cstheme="minorHAnsi"/>
          <w:color w:val="000000"/>
          <w:sz w:val="24"/>
          <w:szCs w:val="24"/>
          <w:lang w:val="en-GB"/>
        </w:rPr>
        <w:t xml:space="preserve">: 109-121. </w:t>
      </w:r>
      <w:r w:rsidRPr="00F24406">
        <w:rPr>
          <w:rFonts w:cstheme="minorHAnsi"/>
          <w:color w:val="000000"/>
          <w:sz w:val="24"/>
          <w:szCs w:val="24"/>
        </w:rPr>
        <w:t>[13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5-Fraser, Nancy (2000): “Heterosexismo, falta de reconocimiento y capitalismo: una respuesta a Judith Butler”, mayo/jun. New </w:t>
      </w:r>
      <w:proofErr w:type="spellStart"/>
      <w:r w:rsidRPr="00F24406">
        <w:rPr>
          <w:rFonts w:cstheme="minorHAnsi"/>
          <w:color w:val="000000"/>
          <w:sz w:val="24"/>
          <w:szCs w:val="24"/>
        </w:rPr>
        <w:t>Left</w:t>
      </w:r>
      <w:proofErr w:type="spellEnd"/>
      <w:r w:rsidRPr="00F24406">
        <w:rPr>
          <w:rFonts w:cstheme="minorHAnsi"/>
          <w:color w:val="000000"/>
          <w:sz w:val="24"/>
          <w:szCs w:val="24"/>
        </w:rPr>
        <w:t xml:space="preserve"> </w:t>
      </w:r>
      <w:proofErr w:type="spellStart"/>
      <w:r w:rsidRPr="00F24406">
        <w:rPr>
          <w:rFonts w:cstheme="minorHAnsi"/>
          <w:color w:val="000000"/>
          <w:sz w:val="24"/>
          <w:szCs w:val="24"/>
        </w:rPr>
        <w:t>Review</w:t>
      </w:r>
      <w:proofErr w:type="spellEnd"/>
      <w:r w:rsidRPr="00F24406">
        <w:rPr>
          <w:rFonts w:cstheme="minorHAnsi"/>
          <w:color w:val="000000"/>
          <w:sz w:val="24"/>
          <w:szCs w:val="24"/>
        </w:rPr>
        <w:t xml:space="preserve"> n. 2: 123-134. [12 págs. de lectura]</w:t>
      </w:r>
    </w:p>
    <w:p w:rsidR="00F152A1" w:rsidRPr="00F24406" w:rsidRDefault="00F152A1" w:rsidP="00F24406">
      <w:pPr>
        <w:spacing w:after="0" w:line="240" w:lineRule="auto"/>
        <w:ind w:right="-82"/>
        <w:contextualSpacing/>
        <w:jc w:val="both"/>
        <w:rPr>
          <w:rFonts w:cstheme="minorHAnsi"/>
          <w:b/>
          <w:bCs/>
          <w:sz w:val="24"/>
          <w:szCs w:val="24"/>
        </w:rPr>
      </w:pPr>
    </w:p>
    <w:p w:rsidR="00F152A1" w:rsidRPr="00F24406" w:rsidRDefault="00F152A1" w:rsidP="00F24406">
      <w:pPr>
        <w:spacing w:after="0" w:line="240" w:lineRule="auto"/>
        <w:ind w:right="-82"/>
        <w:contextualSpacing/>
        <w:jc w:val="both"/>
        <w:rPr>
          <w:rFonts w:cstheme="minorHAnsi"/>
          <w:b/>
          <w:bCs/>
          <w:sz w:val="24"/>
          <w:szCs w:val="24"/>
        </w:rPr>
      </w:pPr>
    </w:p>
    <w:p w:rsidR="001B5F04" w:rsidRPr="00F24406" w:rsidRDefault="00F152A1" w:rsidP="00F24406">
      <w:pPr>
        <w:spacing w:after="0" w:line="240" w:lineRule="auto"/>
        <w:ind w:right="-82"/>
        <w:contextualSpacing/>
        <w:jc w:val="both"/>
        <w:rPr>
          <w:rFonts w:cstheme="minorHAnsi"/>
          <w:b/>
          <w:bCs/>
          <w:sz w:val="24"/>
          <w:szCs w:val="24"/>
        </w:rPr>
      </w:pPr>
      <w:r w:rsidRPr="00F24406">
        <w:rPr>
          <w:rFonts w:cstheme="minorHAnsi"/>
          <w:b/>
          <w:bCs/>
          <w:sz w:val="24"/>
          <w:szCs w:val="24"/>
        </w:rPr>
        <w:lastRenderedPageBreak/>
        <w:t>MODULO VI. EL PENSAMIENTO POSCOLONIALISTA DE LAS EX COLONIAS FRANCO-BRITÁNICAS</w:t>
      </w:r>
    </w:p>
    <w:p w:rsidR="00F24406" w:rsidRDefault="00F24406" w:rsidP="00F24406">
      <w:pPr>
        <w:spacing w:after="0" w:line="240" w:lineRule="auto"/>
        <w:ind w:right="-82"/>
        <w:contextualSpacing/>
        <w:jc w:val="both"/>
        <w:rPr>
          <w:rFonts w:cstheme="minorHAnsi"/>
          <w:b/>
          <w:bCs/>
          <w:sz w:val="24"/>
          <w:szCs w:val="24"/>
        </w:rPr>
      </w:pPr>
    </w:p>
    <w:p w:rsidR="00F152A1" w:rsidRPr="00F24406" w:rsidRDefault="00F152A1" w:rsidP="00F24406">
      <w:pPr>
        <w:spacing w:after="0" w:line="240" w:lineRule="auto"/>
        <w:ind w:right="-82"/>
        <w:contextualSpacing/>
        <w:jc w:val="both"/>
        <w:rPr>
          <w:rFonts w:cstheme="minorHAnsi"/>
          <w:b/>
          <w:bCs/>
          <w:sz w:val="24"/>
          <w:szCs w:val="24"/>
        </w:rPr>
      </w:pPr>
      <w:r w:rsidRPr="00F24406">
        <w:rPr>
          <w:rFonts w:cstheme="minorHAnsi"/>
          <w:b/>
          <w:bCs/>
          <w:sz w:val="24"/>
          <w:szCs w:val="24"/>
        </w:rPr>
        <w:t>Lecturas obligatorias: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1-Bhabha, </w:t>
      </w:r>
      <w:proofErr w:type="spellStart"/>
      <w:r w:rsidRPr="00F24406">
        <w:rPr>
          <w:rFonts w:cstheme="minorHAnsi"/>
          <w:color w:val="000000"/>
          <w:sz w:val="24"/>
          <w:szCs w:val="24"/>
        </w:rPr>
        <w:t>Homi</w:t>
      </w:r>
      <w:proofErr w:type="spellEnd"/>
      <w:r w:rsidRPr="00F24406">
        <w:rPr>
          <w:rFonts w:cstheme="minorHAnsi"/>
          <w:color w:val="000000"/>
          <w:sz w:val="24"/>
          <w:szCs w:val="24"/>
        </w:rPr>
        <w:t xml:space="preserve"> (</w:t>
      </w:r>
      <w:proofErr w:type="spellStart"/>
      <w:r w:rsidRPr="00F24406">
        <w:rPr>
          <w:rFonts w:cstheme="minorHAnsi"/>
          <w:color w:val="000000"/>
          <w:sz w:val="24"/>
          <w:szCs w:val="24"/>
        </w:rPr>
        <w:t>comp.</w:t>
      </w:r>
      <w:proofErr w:type="spellEnd"/>
      <w:r w:rsidRPr="00F24406">
        <w:rPr>
          <w:rFonts w:cstheme="minorHAnsi"/>
          <w:color w:val="000000"/>
          <w:sz w:val="24"/>
          <w:szCs w:val="24"/>
        </w:rPr>
        <w:t>) (1990/2010): NACIÓN Y NARRACIÓN –ENTRE LA ILUSIÓN DE UNA IDENTIDAD Y LAS DIFERENCIAS CULTURALES.  Siglo XXI, Buenos Aires. (Introducción, “Narrar la nación”, págs. 11-20) [10 págs</w:t>
      </w:r>
      <w:r w:rsidR="001B5F04" w:rsidRPr="00F24406">
        <w:rPr>
          <w:rFonts w:cstheme="minorHAnsi"/>
          <w:color w:val="000000"/>
          <w:sz w:val="24"/>
          <w:szCs w:val="24"/>
        </w:rPr>
        <w:t>.</w:t>
      </w:r>
      <w:r w:rsidRPr="00F24406">
        <w:rPr>
          <w:rFonts w:cstheme="minorHAnsi"/>
          <w:color w:val="000000"/>
          <w:sz w:val="24"/>
          <w:szCs w:val="24"/>
        </w:rPr>
        <w:t xml:space="preserve">] [El original en inglés es </w:t>
      </w:r>
      <w:proofErr w:type="spellStart"/>
      <w:r w:rsidRPr="00F24406">
        <w:rPr>
          <w:rFonts w:cstheme="minorHAnsi"/>
          <w:color w:val="000000"/>
          <w:sz w:val="24"/>
          <w:szCs w:val="24"/>
        </w:rPr>
        <w:t>Bhabha</w:t>
      </w:r>
      <w:proofErr w:type="spellEnd"/>
      <w:r w:rsidRPr="00F24406">
        <w:rPr>
          <w:rFonts w:cstheme="minorHAnsi"/>
          <w:color w:val="000000"/>
          <w:sz w:val="24"/>
          <w:szCs w:val="24"/>
        </w:rPr>
        <w:t xml:space="preserve"> (1990): "</w:t>
      </w:r>
      <w:proofErr w:type="spellStart"/>
      <w:r w:rsidRPr="00F24406">
        <w:rPr>
          <w:rFonts w:cstheme="minorHAnsi"/>
          <w:color w:val="000000"/>
          <w:sz w:val="24"/>
          <w:szCs w:val="24"/>
        </w:rPr>
        <w:t>Narrating</w:t>
      </w:r>
      <w:proofErr w:type="spellEnd"/>
      <w:r w:rsidRPr="00F24406">
        <w:rPr>
          <w:rFonts w:cstheme="minorHAnsi"/>
          <w:color w:val="000000"/>
          <w:sz w:val="24"/>
          <w:szCs w:val="24"/>
        </w:rPr>
        <w:t xml:space="preserve"> </w:t>
      </w:r>
      <w:proofErr w:type="spellStart"/>
      <w:r w:rsidRPr="00F24406">
        <w:rPr>
          <w:rFonts w:cstheme="minorHAnsi"/>
          <w:color w:val="000000"/>
          <w:sz w:val="24"/>
          <w:szCs w:val="24"/>
        </w:rPr>
        <w:t>the</w:t>
      </w:r>
      <w:proofErr w:type="spellEnd"/>
      <w:r w:rsidRPr="00F24406">
        <w:rPr>
          <w:rFonts w:cstheme="minorHAnsi"/>
          <w:color w:val="000000"/>
          <w:sz w:val="24"/>
          <w:szCs w:val="24"/>
        </w:rPr>
        <w:t xml:space="preserve"> </w:t>
      </w:r>
      <w:proofErr w:type="spellStart"/>
      <w:r w:rsidRPr="00F24406">
        <w:rPr>
          <w:rFonts w:cstheme="minorHAnsi"/>
          <w:color w:val="000000"/>
          <w:sz w:val="24"/>
          <w:szCs w:val="24"/>
        </w:rPr>
        <w:t>Nation</w:t>
      </w:r>
      <w:proofErr w:type="spellEnd"/>
      <w:r w:rsidRPr="00F24406">
        <w:rPr>
          <w:rFonts w:cstheme="minorHAnsi"/>
          <w:color w:val="000000"/>
          <w:sz w:val="24"/>
          <w:szCs w:val="24"/>
        </w:rPr>
        <w:t xml:space="preserve">", en </w:t>
      </w:r>
      <w:proofErr w:type="spellStart"/>
      <w:r w:rsidRPr="00F24406">
        <w:rPr>
          <w:rFonts w:cstheme="minorHAnsi"/>
          <w:color w:val="000000"/>
          <w:sz w:val="24"/>
          <w:szCs w:val="24"/>
        </w:rPr>
        <w:t>Bhabha</w:t>
      </w:r>
      <w:proofErr w:type="spellEnd"/>
      <w:r w:rsidRPr="00F24406">
        <w:rPr>
          <w:rFonts w:cstheme="minorHAnsi"/>
          <w:color w:val="000000"/>
          <w:sz w:val="24"/>
          <w:szCs w:val="24"/>
        </w:rPr>
        <w:t xml:space="preserve"> (</w:t>
      </w:r>
      <w:proofErr w:type="spellStart"/>
      <w:r w:rsidRPr="00F24406">
        <w:rPr>
          <w:rFonts w:cstheme="minorHAnsi"/>
          <w:color w:val="000000"/>
          <w:sz w:val="24"/>
          <w:szCs w:val="24"/>
        </w:rPr>
        <w:t>comp.</w:t>
      </w:r>
      <w:proofErr w:type="spellEnd"/>
      <w:r w:rsidRPr="00F24406">
        <w:rPr>
          <w:rFonts w:cstheme="minorHAnsi"/>
          <w:color w:val="000000"/>
          <w:sz w:val="24"/>
          <w:szCs w:val="24"/>
        </w:rPr>
        <w:t xml:space="preserve">): NATION AND NARRATION. Routledge, Londres (Introducción, </w:t>
      </w:r>
      <w:r w:rsidR="001B5F04" w:rsidRPr="00F24406">
        <w:rPr>
          <w:rFonts w:cstheme="minorHAnsi"/>
          <w:color w:val="000000"/>
          <w:sz w:val="24"/>
          <w:szCs w:val="24"/>
        </w:rPr>
        <w:t>págs.</w:t>
      </w:r>
      <w:r w:rsidRPr="00F24406">
        <w:rPr>
          <w:rFonts w:cstheme="minorHAnsi"/>
          <w:color w:val="000000"/>
          <w:sz w:val="24"/>
          <w:szCs w:val="24"/>
        </w:rPr>
        <w:t xml:space="preserve"> 1-7).</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2-Chatterjee, </w:t>
      </w:r>
      <w:proofErr w:type="spellStart"/>
      <w:r w:rsidRPr="00F24406">
        <w:rPr>
          <w:rFonts w:cstheme="minorHAnsi"/>
          <w:color w:val="000000"/>
          <w:sz w:val="24"/>
          <w:szCs w:val="24"/>
        </w:rPr>
        <w:t>Partha</w:t>
      </w:r>
      <w:proofErr w:type="spellEnd"/>
      <w:r w:rsidRPr="00F24406">
        <w:rPr>
          <w:rFonts w:cstheme="minorHAnsi"/>
          <w:color w:val="000000"/>
          <w:sz w:val="24"/>
          <w:szCs w:val="24"/>
        </w:rPr>
        <w:t xml:space="preserve"> (2001-2004/2011): “Delhi </w:t>
      </w:r>
      <w:proofErr w:type="spellStart"/>
      <w:r w:rsidRPr="00F24406">
        <w:rPr>
          <w:rFonts w:cstheme="minorHAnsi"/>
          <w:color w:val="000000"/>
          <w:sz w:val="24"/>
          <w:szCs w:val="24"/>
        </w:rPr>
        <w:t>lecture</w:t>
      </w:r>
      <w:proofErr w:type="spellEnd"/>
      <w:r w:rsidRPr="00F24406">
        <w:rPr>
          <w:rFonts w:cstheme="minorHAnsi"/>
          <w:color w:val="000000"/>
          <w:sz w:val="24"/>
          <w:szCs w:val="24"/>
        </w:rPr>
        <w:t xml:space="preserve">. La política de los gobernados.” En </w:t>
      </w:r>
      <w:proofErr w:type="spellStart"/>
      <w:r w:rsidRPr="00F24406">
        <w:rPr>
          <w:rFonts w:cstheme="minorHAnsi"/>
          <w:color w:val="000000"/>
          <w:sz w:val="24"/>
          <w:szCs w:val="24"/>
        </w:rPr>
        <w:t>Rev</w:t>
      </w:r>
      <w:proofErr w:type="spellEnd"/>
      <w:r w:rsidRPr="00F24406">
        <w:rPr>
          <w:rFonts w:cstheme="minorHAnsi"/>
          <w:color w:val="000000"/>
          <w:sz w:val="24"/>
          <w:szCs w:val="24"/>
        </w:rPr>
        <w:t xml:space="preserve"> Colombiana de Antropología, </w:t>
      </w:r>
      <w:proofErr w:type="spellStart"/>
      <w:r w:rsidRPr="00F24406">
        <w:rPr>
          <w:rFonts w:cstheme="minorHAnsi"/>
          <w:color w:val="000000"/>
          <w:sz w:val="24"/>
          <w:szCs w:val="24"/>
        </w:rPr>
        <w:t>Vol</w:t>
      </w:r>
      <w:proofErr w:type="spellEnd"/>
      <w:r w:rsidRPr="00F24406">
        <w:rPr>
          <w:rFonts w:cstheme="minorHAnsi"/>
          <w:color w:val="000000"/>
          <w:sz w:val="24"/>
          <w:szCs w:val="24"/>
        </w:rPr>
        <w:t xml:space="preserve"> 47 (2), julio-diciembre 2011.</w:t>
      </w:r>
      <w:r w:rsidRPr="00F24406">
        <w:rPr>
          <w:rStyle w:val="Refdenotaalpie"/>
          <w:rFonts w:cstheme="minorHAnsi"/>
          <w:color w:val="000000"/>
          <w:sz w:val="24"/>
          <w:szCs w:val="24"/>
        </w:rPr>
        <w:footnoteReference w:id="9"/>
      </w:r>
      <w:r w:rsidRPr="00F24406">
        <w:rPr>
          <w:rFonts w:cstheme="minorHAnsi"/>
          <w:color w:val="000000"/>
          <w:sz w:val="24"/>
          <w:szCs w:val="24"/>
        </w:rPr>
        <w:t xml:space="preserve"> [30 págs</w:t>
      </w:r>
      <w:r w:rsidR="001B5F04" w:rsidRPr="00F24406">
        <w:rPr>
          <w:rFonts w:cstheme="minorHAnsi"/>
          <w:color w:val="000000"/>
          <w:sz w:val="24"/>
          <w:szCs w:val="24"/>
        </w:rPr>
        <w:t>.</w:t>
      </w:r>
      <w:r w:rsidRPr="00F24406">
        <w:rPr>
          <w:rFonts w:cstheme="minorHAnsi"/>
          <w:color w:val="000000"/>
          <w:sz w:val="24"/>
          <w:szCs w:val="24"/>
        </w:rPr>
        <w:t xml:space="preserve">] </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3-Spivak, G. Ch. (1988/1998): “¿Puede hablar el subalterno?”</w:t>
      </w:r>
      <w:r w:rsidRPr="00F24406">
        <w:rPr>
          <w:rStyle w:val="Refdenotaalpie"/>
          <w:rFonts w:cstheme="minorHAnsi"/>
          <w:color w:val="000000"/>
          <w:sz w:val="24"/>
          <w:szCs w:val="24"/>
        </w:rPr>
        <w:footnoteReference w:id="10"/>
      </w:r>
      <w:r w:rsidRPr="00F24406">
        <w:rPr>
          <w:rFonts w:cstheme="minorHAnsi"/>
          <w:color w:val="000000"/>
          <w:sz w:val="24"/>
          <w:szCs w:val="24"/>
        </w:rPr>
        <w:t xml:space="preserve"> Orbis </w:t>
      </w:r>
      <w:proofErr w:type="spellStart"/>
      <w:r w:rsidRPr="00F24406">
        <w:rPr>
          <w:rFonts w:cstheme="minorHAnsi"/>
          <w:color w:val="000000"/>
          <w:sz w:val="24"/>
          <w:szCs w:val="24"/>
        </w:rPr>
        <w:t>Tertius</w:t>
      </w:r>
      <w:proofErr w:type="spellEnd"/>
      <w:r w:rsidRPr="00F24406">
        <w:rPr>
          <w:rFonts w:cstheme="minorHAnsi"/>
          <w:color w:val="000000"/>
          <w:sz w:val="24"/>
          <w:szCs w:val="24"/>
        </w:rPr>
        <w:t xml:space="preserve">, 3 (6): 175-235. Disponible online en: Memoria Académica. Sitio web de la Facultad de Humanidades y Ciencias de la Educación de la Universidad Nacional de La Plata. </w:t>
      </w:r>
    </w:p>
    <w:p w:rsidR="00F152A1" w:rsidRPr="00F24406" w:rsidRDefault="00F152A1" w:rsidP="00F24406">
      <w:pPr>
        <w:spacing w:after="0" w:line="240" w:lineRule="auto"/>
        <w:ind w:right="-82"/>
        <w:contextualSpacing/>
        <w:jc w:val="both"/>
        <w:rPr>
          <w:rFonts w:cstheme="minorHAnsi"/>
          <w:sz w:val="24"/>
          <w:szCs w:val="24"/>
        </w:rPr>
      </w:pPr>
      <w:r w:rsidRPr="00F24406">
        <w:rPr>
          <w:rFonts w:cstheme="minorHAnsi"/>
          <w:color w:val="000000"/>
          <w:sz w:val="24"/>
          <w:szCs w:val="24"/>
        </w:rPr>
        <w:t>En:</w:t>
      </w:r>
      <w:hyperlink r:id="rId29" w:history="1">
        <w:r w:rsidRPr="00F24406">
          <w:rPr>
            <w:rStyle w:val="Hipervnculo"/>
            <w:rFonts w:cstheme="minorHAnsi"/>
            <w:sz w:val="24"/>
            <w:szCs w:val="24"/>
          </w:rPr>
          <w:t>http://www.fuentesmemoria.fahce.unlp.edu.ar/art_revistas/pr.2732/pr.2732.pdf</w:t>
        </w:r>
      </w:hyperlink>
      <w:r w:rsidRPr="00F24406">
        <w:rPr>
          <w:rFonts w:cstheme="minorHAnsi"/>
          <w:sz w:val="24"/>
          <w:szCs w:val="24"/>
        </w:rPr>
        <w:t xml:space="preserve"> </w:t>
      </w:r>
    </w:p>
    <w:p w:rsidR="00F152A1" w:rsidRPr="00F24406" w:rsidRDefault="00F152A1" w:rsidP="00F24406">
      <w:pPr>
        <w:spacing w:after="0" w:line="240" w:lineRule="auto"/>
        <w:ind w:right="-82"/>
        <w:contextualSpacing/>
        <w:jc w:val="both"/>
        <w:rPr>
          <w:rFonts w:cstheme="minorHAnsi"/>
          <w:color w:val="000000"/>
          <w:sz w:val="24"/>
          <w:szCs w:val="24"/>
        </w:rPr>
      </w:pP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t>Lecturas ampliatorias</w:t>
      </w:r>
      <w:r w:rsidR="001B5F04" w:rsidRPr="00F24406">
        <w:rPr>
          <w:rFonts w:cstheme="minorHAnsi"/>
          <w:b/>
          <w:bCs/>
          <w:color w:val="000000"/>
          <w:sz w:val="24"/>
          <w:szCs w:val="24"/>
        </w:rPr>
        <w:t xml:space="preserve"> opcionales</w:t>
      </w:r>
      <w:r w:rsidRPr="00F24406">
        <w:rPr>
          <w:rFonts w:cstheme="minorHAnsi"/>
          <w:b/>
          <w:bCs/>
          <w:color w:val="000000"/>
          <w:sz w:val="24"/>
          <w:szCs w:val="24"/>
        </w:rPr>
        <w:t>:</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1- </w:t>
      </w:r>
      <w:proofErr w:type="spellStart"/>
      <w:r w:rsidRPr="00F24406">
        <w:rPr>
          <w:rFonts w:cstheme="minorHAnsi"/>
          <w:color w:val="000000"/>
          <w:sz w:val="24"/>
          <w:szCs w:val="24"/>
        </w:rPr>
        <w:t>Bhabha</w:t>
      </w:r>
      <w:proofErr w:type="spellEnd"/>
      <w:r w:rsidRPr="00F24406">
        <w:rPr>
          <w:rFonts w:cstheme="minorHAnsi"/>
          <w:color w:val="000000"/>
          <w:sz w:val="24"/>
          <w:szCs w:val="24"/>
        </w:rPr>
        <w:t xml:space="preserve">, </w:t>
      </w:r>
      <w:proofErr w:type="spellStart"/>
      <w:r w:rsidRPr="00F24406">
        <w:rPr>
          <w:rFonts w:cstheme="minorHAnsi"/>
          <w:color w:val="000000"/>
          <w:sz w:val="24"/>
          <w:szCs w:val="24"/>
        </w:rPr>
        <w:t>Homi</w:t>
      </w:r>
      <w:proofErr w:type="spellEnd"/>
      <w:r w:rsidRPr="00F24406">
        <w:rPr>
          <w:rFonts w:cstheme="minorHAnsi"/>
          <w:color w:val="000000"/>
          <w:sz w:val="24"/>
          <w:szCs w:val="24"/>
        </w:rPr>
        <w:t>. (1985-1994</w:t>
      </w:r>
      <w:r w:rsidRPr="00F24406">
        <w:rPr>
          <w:rStyle w:val="Refdenotaalpie"/>
          <w:rFonts w:cstheme="minorHAnsi"/>
          <w:color w:val="000000"/>
          <w:sz w:val="24"/>
          <w:szCs w:val="24"/>
        </w:rPr>
        <w:footnoteReference w:id="11"/>
      </w:r>
      <w:r w:rsidRPr="00F24406">
        <w:rPr>
          <w:rFonts w:cstheme="minorHAnsi"/>
          <w:color w:val="000000"/>
          <w:sz w:val="24"/>
          <w:szCs w:val="24"/>
        </w:rPr>
        <w:t>/2002): “Signos tomados por prodigios: cuestiones de ambivalencia y autoridad bajo un árbol en las afueras de Delhi, mayo de 1817”. En EL LUGAR DE LA CULTURA. Manantial, Buenos Aires. Págs. 131-153. [23 págs</w:t>
      </w:r>
      <w:r w:rsidR="001B5F04" w:rsidRPr="00F24406">
        <w:rPr>
          <w:rFonts w:cstheme="minorHAnsi"/>
          <w:color w:val="000000"/>
          <w:sz w:val="24"/>
          <w:szCs w:val="24"/>
        </w:rPr>
        <w:t>.</w:t>
      </w:r>
      <w:r w:rsidRPr="00F24406">
        <w:rPr>
          <w:rFonts w:cstheme="minorHAnsi"/>
          <w:color w:val="000000"/>
          <w:sz w:val="24"/>
          <w:szCs w:val="24"/>
        </w:rPr>
        <w:t xml:space="preserve">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2- </w:t>
      </w:r>
      <w:proofErr w:type="spellStart"/>
      <w:r w:rsidRPr="00F24406">
        <w:rPr>
          <w:rFonts w:cstheme="minorHAnsi"/>
          <w:color w:val="000000"/>
          <w:sz w:val="24"/>
          <w:szCs w:val="24"/>
        </w:rPr>
        <w:t>Bhabha</w:t>
      </w:r>
      <w:proofErr w:type="spellEnd"/>
      <w:r w:rsidRPr="00F24406">
        <w:rPr>
          <w:rFonts w:cstheme="minorHAnsi"/>
          <w:color w:val="000000"/>
          <w:sz w:val="24"/>
          <w:szCs w:val="24"/>
        </w:rPr>
        <w:t xml:space="preserve">, </w:t>
      </w:r>
      <w:proofErr w:type="spellStart"/>
      <w:r w:rsidRPr="00F24406">
        <w:rPr>
          <w:rFonts w:cstheme="minorHAnsi"/>
          <w:color w:val="000000"/>
          <w:sz w:val="24"/>
          <w:szCs w:val="24"/>
        </w:rPr>
        <w:t>Homi</w:t>
      </w:r>
      <w:proofErr w:type="spellEnd"/>
      <w:r w:rsidRPr="00F24406">
        <w:rPr>
          <w:rFonts w:cstheme="minorHAnsi"/>
          <w:color w:val="000000"/>
          <w:sz w:val="24"/>
          <w:szCs w:val="24"/>
        </w:rPr>
        <w:t xml:space="preserve"> (1994/2002): “</w:t>
      </w:r>
      <w:proofErr w:type="spellStart"/>
      <w:r w:rsidRPr="00F24406">
        <w:rPr>
          <w:rFonts w:cstheme="minorHAnsi"/>
          <w:color w:val="000000"/>
          <w:sz w:val="24"/>
          <w:szCs w:val="24"/>
        </w:rPr>
        <w:t>DisemiNación</w:t>
      </w:r>
      <w:proofErr w:type="spellEnd"/>
      <w:r w:rsidRPr="00F24406">
        <w:rPr>
          <w:rFonts w:cstheme="minorHAnsi"/>
          <w:color w:val="000000"/>
          <w:sz w:val="24"/>
          <w:szCs w:val="24"/>
        </w:rPr>
        <w:t>. El tiempo, el relato y los márgenes de la nación moderna. En EL LUGAR DE LA CULTURA. Manantial, Buenos Aires. Págs. 175-209. [35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3- Fernández Bravo y Garramuño, F. (1992): Entrevista con </w:t>
      </w:r>
      <w:proofErr w:type="spellStart"/>
      <w:r w:rsidRPr="00F24406">
        <w:rPr>
          <w:rFonts w:cstheme="minorHAnsi"/>
          <w:color w:val="000000"/>
          <w:sz w:val="24"/>
          <w:szCs w:val="24"/>
        </w:rPr>
        <w:t>Homi</w:t>
      </w:r>
      <w:proofErr w:type="spellEnd"/>
      <w:r w:rsidRPr="00F24406">
        <w:rPr>
          <w:rFonts w:cstheme="minorHAnsi"/>
          <w:color w:val="000000"/>
          <w:sz w:val="24"/>
          <w:szCs w:val="24"/>
        </w:rPr>
        <w:t xml:space="preserve"> K. </w:t>
      </w:r>
      <w:proofErr w:type="spellStart"/>
      <w:r w:rsidRPr="00F24406">
        <w:rPr>
          <w:rFonts w:cstheme="minorHAnsi"/>
          <w:color w:val="000000"/>
          <w:sz w:val="24"/>
          <w:szCs w:val="24"/>
        </w:rPr>
        <w:t>Bhabha</w:t>
      </w:r>
      <w:proofErr w:type="spellEnd"/>
      <w:r w:rsidRPr="00F24406">
        <w:rPr>
          <w:rFonts w:cstheme="minorHAnsi"/>
          <w:color w:val="000000"/>
          <w:sz w:val="24"/>
          <w:szCs w:val="24"/>
        </w:rPr>
        <w:t>. Rev. Bordes núm. 1: 87-92. [6 págs</w:t>
      </w:r>
      <w:r w:rsidR="001B5F04" w:rsidRPr="00F24406">
        <w:rPr>
          <w:rFonts w:cstheme="minorHAnsi"/>
          <w:color w:val="000000"/>
          <w:sz w:val="24"/>
          <w:szCs w:val="24"/>
        </w:rPr>
        <w:t>.</w:t>
      </w:r>
      <w:r w:rsidRPr="00F24406">
        <w:rPr>
          <w:rFonts w:cstheme="minorHAnsi"/>
          <w:color w:val="000000"/>
          <w:sz w:val="24"/>
          <w:szCs w:val="24"/>
        </w:rPr>
        <w:t xml:space="preserve"> de lectura]</w:t>
      </w:r>
    </w:p>
    <w:p w:rsidR="001B5F04" w:rsidRPr="00F24406" w:rsidRDefault="001B5F04"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4- </w:t>
      </w:r>
      <w:proofErr w:type="spellStart"/>
      <w:r w:rsidR="00F24406" w:rsidRPr="00F24406">
        <w:rPr>
          <w:rFonts w:cstheme="minorHAnsi"/>
          <w:color w:val="000000"/>
          <w:sz w:val="24"/>
          <w:szCs w:val="24"/>
        </w:rPr>
        <w:t>Fanon</w:t>
      </w:r>
      <w:proofErr w:type="spellEnd"/>
      <w:r w:rsidR="00F24406" w:rsidRPr="00F24406">
        <w:rPr>
          <w:rFonts w:cstheme="minorHAnsi"/>
          <w:color w:val="000000"/>
          <w:sz w:val="24"/>
          <w:szCs w:val="24"/>
        </w:rPr>
        <w:t xml:space="preserve">, </w:t>
      </w:r>
      <w:proofErr w:type="spellStart"/>
      <w:r w:rsidR="00F24406" w:rsidRPr="00F24406">
        <w:rPr>
          <w:rFonts w:cstheme="minorHAnsi"/>
          <w:color w:val="000000"/>
          <w:sz w:val="24"/>
          <w:szCs w:val="24"/>
        </w:rPr>
        <w:t>Frantz</w:t>
      </w:r>
      <w:proofErr w:type="spellEnd"/>
      <w:r w:rsidR="00F24406" w:rsidRPr="00F24406">
        <w:rPr>
          <w:rFonts w:cstheme="minorHAnsi"/>
          <w:color w:val="000000"/>
          <w:sz w:val="24"/>
          <w:szCs w:val="24"/>
        </w:rPr>
        <w:t xml:space="preserve"> (2018) Los condenados de la tierra. Cuarta edición. FCE. Ciudad de México. </w:t>
      </w:r>
    </w:p>
    <w:p w:rsidR="00F152A1" w:rsidRDefault="00F152A1" w:rsidP="00F24406">
      <w:pPr>
        <w:spacing w:after="0" w:line="240" w:lineRule="auto"/>
        <w:ind w:right="-82"/>
        <w:contextualSpacing/>
        <w:jc w:val="both"/>
        <w:rPr>
          <w:rFonts w:cstheme="minorHAnsi"/>
          <w:color w:val="000000"/>
          <w:sz w:val="24"/>
          <w:szCs w:val="24"/>
        </w:rPr>
      </w:pPr>
    </w:p>
    <w:p w:rsidR="00F24406" w:rsidRPr="00F24406" w:rsidRDefault="00F24406" w:rsidP="00F24406">
      <w:pPr>
        <w:spacing w:after="0" w:line="240" w:lineRule="auto"/>
        <w:ind w:right="-82"/>
        <w:contextualSpacing/>
        <w:jc w:val="both"/>
        <w:rPr>
          <w:rFonts w:cstheme="minorHAnsi"/>
          <w:color w:val="000000"/>
          <w:sz w:val="24"/>
          <w:szCs w:val="24"/>
        </w:rPr>
      </w:pPr>
    </w:p>
    <w:p w:rsidR="00F152A1" w:rsidRPr="00F24406" w:rsidRDefault="00F152A1" w:rsidP="00F24406">
      <w:pPr>
        <w:spacing w:after="0" w:line="240" w:lineRule="auto"/>
        <w:ind w:right="-82"/>
        <w:contextualSpacing/>
        <w:jc w:val="both"/>
        <w:rPr>
          <w:rFonts w:cstheme="minorHAnsi"/>
          <w:b/>
          <w:bCs/>
          <w:sz w:val="24"/>
          <w:szCs w:val="24"/>
        </w:rPr>
      </w:pPr>
      <w:r w:rsidRPr="00F24406">
        <w:rPr>
          <w:rFonts w:cstheme="minorHAnsi"/>
          <w:b/>
          <w:bCs/>
          <w:sz w:val="24"/>
          <w:szCs w:val="24"/>
        </w:rPr>
        <w:t>MODULO VII. TEORÍAS Y DISCUSIONES LATINOAMERICANAS.</w:t>
      </w:r>
    </w:p>
    <w:p w:rsidR="00F152A1" w:rsidRPr="00F24406" w:rsidRDefault="00F152A1" w:rsidP="00F24406">
      <w:pPr>
        <w:spacing w:after="0" w:line="240" w:lineRule="auto"/>
        <w:ind w:right="-82"/>
        <w:contextualSpacing/>
        <w:jc w:val="both"/>
        <w:rPr>
          <w:rFonts w:cstheme="minorHAnsi"/>
          <w:b/>
          <w:bCs/>
          <w:sz w:val="24"/>
          <w:szCs w:val="24"/>
        </w:rPr>
      </w:pPr>
      <w:r w:rsidRPr="00F24406">
        <w:rPr>
          <w:rFonts w:cstheme="minorHAnsi"/>
          <w:b/>
          <w:bCs/>
          <w:sz w:val="24"/>
          <w:szCs w:val="24"/>
        </w:rPr>
        <w:t>Lecturas obligatorias:</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sz w:val="24"/>
          <w:szCs w:val="24"/>
        </w:rPr>
        <w:t>1-Mignolo, Walter (1996): “Herencias coloniales y teorías poscoloniales”. En Gonzáles Stephan, Beatriz: CULTURA Y TERCER MUNDO. Nueva Sociedad, Caracas. (“1. Cambios en el saber académico”, sección 1 del Cap</w:t>
      </w:r>
      <w:r w:rsidR="001B5F04" w:rsidRPr="00F24406">
        <w:rPr>
          <w:rFonts w:cstheme="minorHAnsi"/>
          <w:sz w:val="24"/>
          <w:szCs w:val="24"/>
        </w:rPr>
        <w:t>.</w:t>
      </w:r>
      <w:r w:rsidRPr="00F24406">
        <w:rPr>
          <w:rFonts w:cstheme="minorHAnsi"/>
          <w:sz w:val="24"/>
          <w:szCs w:val="24"/>
        </w:rPr>
        <w:t xml:space="preserve"> 4: 99-136) </w:t>
      </w:r>
      <w:r w:rsidRPr="00F24406">
        <w:rPr>
          <w:rFonts w:cstheme="minorHAnsi"/>
          <w:color w:val="000000"/>
          <w:sz w:val="24"/>
          <w:szCs w:val="24"/>
        </w:rPr>
        <w:t>[26 págs</w:t>
      </w:r>
      <w:r w:rsidR="001B5F04" w:rsidRPr="00F24406">
        <w:rPr>
          <w:rFonts w:cstheme="minorHAnsi"/>
          <w:color w:val="000000"/>
          <w:sz w:val="24"/>
          <w:szCs w:val="24"/>
        </w:rPr>
        <w:t>.</w:t>
      </w:r>
      <w:r w:rsidRPr="00F24406">
        <w:rPr>
          <w:rFonts w:cstheme="minorHAnsi"/>
          <w:color w:val="000000"/>
          <w:sz w:val="24"/>
          <w:szCs w:val="24"/>
        </w:rPr>
        <w:t xml:space="preserve">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2- Lander, Edgardo (2000): "Ciencias sociales: saberes coloniales y eurocéntricos" En Lander, E. (Comp.) 2000 LA COLONIALIDAD DEL SABER: EUROCENTRISMO Y CIENCIAS SOCIALES- PERSPECTIVAS LATINOAMERICANAS. Buenos Aires: CLACSO. (Capitulo 1, págs. 3-23). [21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lastRenderedPageBreak/>
        <w:t>3-García Linera, Álvaro (2008): LA POTENCIA PLEBEYA. ACCIÓN COLECTIVA E IDENTIDADES INDÍGENAS, OBRERAS Y POPULARES EN BOLIVIA. (Capítulo VII “Crisis estatal y época de revolución”, 1er subtítulo: “Crisis del Estado y sublevaciones indígena-plebeyas en Bolivia”, págs. 331-349) [19 págs. de lectura]</w:t>
      </w:r>
    </w:p>
    <w:p w:rsidR="001B5F04" w:rsidRPr="00F24406" w:rsidRDefault="001B5F04" w:rsidP="00F24406">
      <w:pPr>
        <w:spacing w:after="0" w:line="240" w:lineRule="auto"/>
        <w:ind w:right="-82"/>
        <w:contextualSpacing/>
        <w:jc w:val="both"/>
        <w:rPr>
          <w:rFonts w:cstheme="minorHAnsi"/>
          <w:b/>
          <w:bCs/>
          <w:color w:val="000000"/>
          <w:sz w:val="24"/>
          <w:szCs w:val="24"/>
        </w:rPr>
      </w:pPr>
    </w:p>
    <w:p w:rsidR="00F152A1" w:rsidRPr="00F24406" w:rsidRDefault="00F152A1" w:rsidP="00F24406">
      <w:pPr>
        <w:spacing w:after="0" w:line="240" w:lineRule="auto"/>
        <w:ind w:right="-82"/>
        <w:contextualSpacing/>
        <w:jc w:val="both"/>
        <w:rPr>
          <w:rFonts w:cstheme="minorHAnsi"/>
          <w:b/>
          <w:bCs/>
          <w:color w:val="000000"/>
          <w:sz w:val="24"/>
          <w:szCs w:val="24"/>
        </w:rPr>
      </w:pPr>
      <w:r w:rsidRPr="00F24406">
        <w:rPr>
          <w:rFonts w:cstheme="minorHAnsi"/>
          <w:b/>
          <w:bCs/>
          <w:color w:val="000000"/>
          <w:sz w:val="24"/>
          <w:szCs w:val="24"/>
        </w:rPr>
        <w:t>Lecturas ampliatorias</w:t>
      </w:r>
      <w:r w:rsidR="001B5F04" w:rsidRPr="00F24406">
        <w:rPr>
          <w:rFonts w:cstheme="minorHAnsi"/>
          <w:b/>
          <w:bCs/>
          <w:color w:val="000000"/>
          <w:sz w:val="24"/>
          <w:szCs w:val="24"/>
        </w:rPr>
        <w:t xml:space="preserve"> opcionales</w:t>
      </w:r>
      <w:r w:rsidRPr="00F24406">
        <w:rPr>
          <w:rFonts w:cstheme="minorHAnsi"/>
          <w:b/>
          <w:bCs/>
          <w:color w:val="000000"/>
          <w:sz w:val="24"/>
          <w:szCs w:val="24"/>
        </w:rPr>
        <w:t>:</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1-Sommer, Doris (1990</w:t>
      </w:r>
      <w:r w:rsidRPr="00F24406">
        <w:rPr>
          <w:rStyle w:val="Refdenotaalpie"/>
          <w:rFonts w:cstheme="minorHAnsi"/>
          <w:color w:val="000000"/>
          <w:sz w:val="24"/>
          <w:szCs w:val="24"/>
        </w:rPr>
        <w:footnoteReference w:id="12"/>
      </w:r>
      <w:r w:rsidRPr="00F24406">
        <w:rPr>
          <w:rFonts w:cstheme="minorHAnsi"/>
          <w:color w:val="000000"/>
          <w:sz w:val="24"/>
          <w:szCs w:val="24"/>
        </w:rPr>
        <w:t>/2004): FICCIONES FUNDACIONALES. LAS NOVELAS NACIONALES DE AMÉRICA LATINA. (Cap. 1; Parte 1 “Romance irresistible” y Parte 2 “Amor y patria. Una especulación alegórica”. Págs. 17-83) [60 págs. de lectura]</w:t>
      </w:r>
    </w:p>
    <w:p w:rsidR="00F152A1" w:rsidRPr="00F24406" w:rsidRDefault="00F152A1" w:rsidP="00F24406">
      <w:pPr>
        <w:spacing w:after="0" w:line="240" w:lineRule="auto"/>
        <w:ind w:right="-82"/>
        <w:contextualSpacing/>
        <w:jc w:val="both"/>
        <w:rPr>
          <w:rFonts w:cstheme="minorHAnsi"/>
          <w:color w:val="000000"/>
          <w:sz w:val="24"/>
          <w:szCs w:val="24"/>
        </w:rPr>
      </w:pPr>
      <w:r w:rsidRPr="00F24406">
        <w:rPr>
          <w:rFonts w:cstheme="minorHAnsi"/>
          <w:color w:val="000000"/>
          <w:sz w:val="24"/>
          <w:szCs w:val="24"/>
        </w:rPr>
        <w:t xml:space="preserve">2-Bautista </w:t>
      </w:r>
      <w:proofErr w:type="spellStart"/>
      <w:r w:rsidRPr="00F24406">
        <w:rPr>
          <w:rFonts w:cstheme="minorHAnsi"/>
          <w:color w:val="000000"/>
          <w:sz w:val="24"/>
          <w:szCs w:val="24"/>
        </w:rPr>
        <w:t>Segalés</w:t>
      </w:r>
      <w:proofErr w:type="spellEnd"/>
      <w:r w:rsidRPr="00F24406">
        <w:rPr>
          <w:rFonts w:cstheme="minorHAnsi"/>
          <w:color w:val="000000"/>
          <w:sz w:val="24"/>
          <w:szCs w:val="24"/>
        </w:rPr>
        <w:t xml:space="preserve">, Juan José (2014): ¿QUÉ SIGNIFICA PENSAR DESDE AMÉRICA LATINA? HACIA UNA RACIONALIDAD TRANSMODERNA Y POSTOCCIDENTAL. Akal, Madrid. (Introducción, págs. 9-15 y el cap. II de la primera parte "Hacia una </w:t>
      </w:r>
      <w:proofErr w:type="spellStart"/>
      <w:r w:rsidRPr="00F24406">
        <w:rPr>
          <w:rFonts w:cstheme="minorHAnsi"/>
          <w:color w:val="000000"/>
          <w:sz w:val="24"/>
          <w:szCs w:val="24"/>
        </w:rPr>
        <w:t>transmodernidad</w:t>
      </w:r>
      <w:proofErr w:type="spellEnd"/>
      <w:r w:rsidRPr="00F24406">
        <w:rPr>
          <w:rFonts w:cstheme="minorHAnsi"/>
          <w:color w:val="000000"/>
          <w:sz w:val="24"/>
          <w:szCs w:val="24"/>
        </w:rPr>
        <w:t xml:space="preserve"> decolonial. Un diálogo con el concepto de </w:t>
      </w:r>
      <w:proofErr w:type="spellStart"/>
      <w:r w:rsidRPr="00F24406">
        <w:rPr>
          <w:rFonts w:cstheme="minorHAnsi"/>
          <w:color w:val="000000"/>
          <w:sz w:val="24"/>
          <w:szCs w:val="24"/>
        </w:rPr>
        <w:t>transmodernidad</w:t>
      </w:r>
      <w:proofErr w:type="spellEnd"/>
      <w:r w:rsidRPr="00F24406">
        <w:rPr>
          <w:rFonts w:cstheme="minorHAnsi"/>
          <w:color w:val="000000"/>
          <w:sz w:val="24"/>
          <w:szCs w:val="24"/>
        </w:rPr>
        <w:t xml:space="preserve"> de Enrique Dussel", págs. 53-74) [31 págs. de lectura]</w:t>
      </w:r>
    </w:p>
    <w:p w:rsidR="00F152A1" w:rsidRPr="00F24406" w:rsidRDefault="00F152A1" w:rsidP="00F24406">
      <w:pPr>
        <w:pStyle w:val="Prrafodelista"/>
        <w:spacing w:after="0" w:line="240" w:lineRule="auto"/>
        <w:ind w:left="0"/>
        <w:jc w:val="both"/>
        <w:rPr>
          <w:rFonts w:cstheme="minorHAnsi"/>
          <w:b/>
          <w:bCs/>
          <w:sz w:val="24"/>
          <w:szCs w:val="24"/>
        </w:rPr>
      </w:pPr>
      <w:r w:rsidRPr="00F24406">
        <w:rPr>
          <w:rFonts w:cstheme="minorHAnsi"/>
          <w:color w:val="000000"/>
          <w:sz w:val="24"/>
          <w:szCs w:val="24"/>
        </w:rPr>
        <w:t xml:space="preserve">3- </w:t>
      </w:r>
      <w:proofErr w:type="spellStart"/>
      <w:r w:rsidRPr="00F24406">
        <w:rPr>
          <w:rFonts w:cstheme="minorHAnsi"/>
          <w:color w:val="000000"/>
          <w:sz w:val="24"/>
          <w:szCs w:val="24"/>
        </w:rPr>
        <w:t>Mignolo</w:t>
      </w:r>
      <w:proofErr w:type="spellEnd"/>
      <w:r w:rsidRPr="00F24406">
        <w:rPr>
          <w:rFonts w:cstheme="minorHAnsi"/>
          <w:color w:val="000000"/>
          <w:sz w:val="24"/>
          <w:szCs w:val="24"/>
        </w:rPr>
        <w:t xml:space="preserve">, Walter (2009): “Desobediencia Epistémica (II), Pensamiento Independiente y Libertad De-Colonial”. </w:t>
      </w:r>
      <w:proofErr w:type="spellStart"/>
      <w:r w:rsidRPr="00F24406">
        <w:rPr>
          <w:rFonts w:cstheme="minorHAnsi"/>
          <w:color w:val="000000"/>
          <w:sz w:val="24"/>
          <w:szCs w:val="24"/>
        </w:rPr>
        <w:t>Rev</w:t>
      </w:r>
      <w:proofErr w:type="spellEnd"/>
      <w:r w:rsidRPr="00F24406">
        <w:rPr>
          <w:rFonts w:cstheme="minorHAnsi"/>
          <w:color w:val="000000"/>
          <w:sz w:val="24"/>
          <w:szCs w:val="24"/>
        </w:rPr>
        <w:t xml:space="preserve"> Otros Logos, Centro de Estudios y Actualización en Pensamiento Político, </w:t>
      </w:r>
      <w:proofErr w:type="spellStart"/>
      <w:r w:rsidRPr="00F24406">
        <w:rPr>
          <w:rFonts w:cstheme="minorHAnsi"/>
          <w:color w:val="000000"/>
          <w:sz w:val="24"/>
          <w:szCs w:val="24"/>
        </w:rPr>
        <w:t>Decolonialidad</w:t>
      </w:r>
      <w:proofErr w:type="spellEnd"/>
      <w:r w:rsidRPr="00F24406">
        <w:rPr>
          <w:rFonts w:cstheme="minorHAnsi"/>
          <w:color w:val="000000"/>
          <w:sz w:val="24"/>
          <w:szCs w:val="24"/>
        </w:rPr>
        <w:t xml:space="preserve"> e interculturalidad. Universidad Nacional del Comahue, BA/Neuquén/Río Negro/Chubut. [31 págs. de lectura]</w:t>
      </w:r>
    </w:p>
    <w:p w:rsidR="00F24406" w:rsidRPr="00F24406" w:rsidRDefault="00F24406" w:rsidP="00F24406">
      <w:pPr>
        <w:pStyle w:val="Prrafodelista"/>
        <w:spacing w:after="0" w:line="240" w:lineRule="auto"/>
        <w:ind w:left="0"/>
        <w:jc w:val="both"/>
        <w:rPr>
          <w:rFonts w:cstheme="minorHAnsi"/>
          <w:b/>
          <w:bCs/>
          <w:sz w:val="24"/>
          <w:szCs w:val="24"/>
        </w:rPr>
      </w:pPr>
    </w:p>
    <w:sectPr w:rsidR="00F24406" w:rsidRPr="00F24406" w:rsidSect="00F24FDF">
      <w:headerReference w:type="defaul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584" w:rsidRDefault="00301584" w:rsidP="001F3FBE">
      <w:pPr>
        <w:spacing w:after="0" w:line="240" w:lineRule="auto"/>
      </w:pPr>
      <w:r>
        <w:separator/>
      </w:r>
    </w:p>
  </w:endnote>
  <w:endnote w:type="continuationSeparator" w:id="0">
    <w:p w:rsidR="00301584" w:rsidRDefault="00301584" w:rsidP="001F3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584" w:rsidRDefault="00301584" w:rsidP="001F3FBE">
      <w:pPr>
        <w:spacing w:after="0" w:line="240" w:lineRule="auto"/>
      </w:pPr>
      <w:r>
        <w:separator/>
      </w:r>
    </w:p>
  </w:footnote>
  <w:footnote w:type="continuationSeparator" w:id="0">
    <w:p w:rsidR="00301584" w:rsidRDefault="00301584" w:rsidP="001F3FBE">
      <w:pPr>
        <w:spacing w:after="0" w:line="240" w:lineRule="auto"/>
      </w:pPr>
      <w:r>
        <w:continuationSeparator/>
      </w:r>
    </w:p>
  </w:footnote>
  <w:footnote w:id="1">
    <w:p w:rsidR="0031414D" w:rsidRPr="00B45799" w:rsidRDefault="0031414D" w:rsidP="0031414D">
      <w:pPr>
        <w:pStyle w:val="Textonotapie"/>
        <w:jc w:val="both"/>
        <w:rPr>
          <w:rFonts w:asciiTheme="minorHAnsi" w:hAnsiTheme="minorHAnsi" w:cstheme="minorHAnsi"/>
        </w:rPr>
      </w:pPr>
      <w:r w:rsidRPr="00B45799">
        <w:rPr>
          <w:rStyle w:val="Refdenotaalpie"/>
          <w:rFonts w:asciiTheme="minorHAnsi" w:hAnsiTheme="minorHAnsi" w:cstheme="minorHAnsi"/>
        </w:rPr>
        <w:footnoteRef/>
      </w:r>
      <w:r w:rsidRPr="00B45799">
        <w:rPr>
          <w:rFonts w:asciiTheme="minorHAnsi" w:hAnsiTheme="minorHAnsi" w:cstheme="minorHAnsi"/>
        </w:rPr>
        <w:t xml:space="preserve"> No solamente disciplinas académicas sino, en el caso de los posestructuralistas y posmodernistas, también movimientos artísticos y culturales, o en el caso de la teoría del deseo, la escena de los </w:t>
      </w:r>
      <w:proofErr w:type="spellStart"/>
      <w:r w:rsidRPr="00B45799">
        <w:rPr>
          <w:rFonts w:asciiTheme="minorHAnsi" w:hAnsiTheme="minorHAnsi" w:cstheme="minorHAnsi"/>
        </w:rPr>
        <w:t>DJ´s</w:t>
      </w:r>
      <w:proofErr w:type="spellEnd"/>
      <w:r w:rsidRPr="00B45799">
        <w:rPr>
          <w:rFonts w:asciiTheme="minorHAnsi" w:hAnsiTheme="minorHAnsi" w:cstheme="minorHAnsi"/>
        </w:rPr>
        <w:t xml:space="preserve"> intelectualizados de la música Hip-Hop.</w:t>
      </w:r>
    </w:p>
  </w:footnote>
  <w:footnote w:id="2">
    <w:p w:rsidR="0031414D" w:rsidRPr="00B45799" w:rsidRDefault="0031414D" w:rsidP="0031414D">
      <w:pPr>
        <w:pStyle w:val="Textonotapie"/>
        <w:jc w:val="both"/>
        <w:rPr>
          <w:rFonts w:asciiTheme="minorHAnsi" w:hAnsiTheme="minorHAnsi" w:cstheme="minorHAnsi"/>
        </w:rPr>
      </w:pPr>
      <w:r w:rsidRPr="00B45799">
        <w:rPr>
          <w:rStyle w:val="Refdenotaalpie"/>
          <w:rFonts w:asciiTheme="minorHAnsi" w:hAnsiTheme="minorHAnsi" w:cstheme="minorHAnsi"/>
        </w:rPr>
        <w:footnoteRef/>
      </w:r>
      <w:r w:rsidRPr="00B45799">
        <w:rPr>
          <w:rFonts w:asciiTheme="minorHAnsi" w:hAnsiTheme="minorHAnsi" w:cstheme="minorHAnsi"/>
        </w:rPr>
        <w:t xml:space="preserve"> François </w:t>
      </w:r>
      <w:proofErr w:type="spellStart"/>
      <w:r w:rsidRPr="00B45799">
        <w:rPr>
          <w:rFonts w:asciiTheme="minorHAnsi" w:hAnsiTheme="minorHAnsi" w:cstheme="minorHAnsi"/>
        </w:rPr>
        <w:t>Cusset</w:t>
      </w:r>
      <w:proofErr w:type="spellEnd"/>
      <w:r w:rsidRPr="00B45799">
        <w:rPr>
          <w:rFonts w:asciiTheme="minorHAnsi" w:hAnsiTheme="minorHAnsi" w:cstheme="minorHAnsi"/>
        </w:rPr>
        <w:t xml:space="preserve"> (2005) sitúa el comienzo de la crisis en el congreso "</w:t>
      </w:r>
      <w:proofErr w:type="spellStart"/>
      <w:r w:rsidRPr="00B45799">
        <w:rPr>
          <w:rFonts w:asciiTheme="minorHAnsi" w:hAnsiTheme="minorHAnsi" w:cstheme="minorHAnsi"/>
        </w:rPr>
        <w:t>The</w:t>
      </w:r>
      <w:proofErr w:type="spellEnd"/>
      <w:r w:rsidRPr="00B45799">
        <w:rPr>
          <w:rFonts w:asciiTheme="minorHAnsi" w:hAnsiTheme="minorHAnsi" w:cstheme="minorHAnsi"/>
        </w:rPr>
        <w:t xml:space="preserve"> </w:t>
      </w:r>
      <w:proofErr w:type="spellStart"/>
      <w:r w:rsidRPr="00B45799">
        <w:rPr>
          <w:rFonts w:asciiTheme="minorHAnsi" w:hAnsiTheme="minorHAnsi" w:cstheme="minorHAnsi"/>
        </w:rPr>
        <w:t>language</w:t>
      </w:r>
      <w:proofErr w:type="spellEnd"/>
      <w:r w:rsidRPr="00B45799">
        <w:rPr>
          <w:rFonts w:asciiTheme="minorHAnsi" w:hAnsiTheme="minorHAnsi" w:cstheme="minorHAnsi"/>
        </w:rPr>
        <w:t xml:space="preserve"> </w:t>
      </w:r>
      <w:proofErr w:type="spellStart"/>
      <w:r w:rsidRPr="00B45799">
        <w:rPr>
          <w:rFonts w:asciiTheme="minorHAnsi" w:hAnsiTheme="minorHAnsi" w:cstheme="minorHAnsi"/>
        </w:rPr>
        <w:t>of</w:t>
      </w:r>
      <w:proofErr w:type="spellEnd"/>
      <w:r w:rsidRPr="00B45799">
        <w:rPr>
          <w:rFonts w:asciiTheme="minorHAnsi" w:hAnsiTheme="minorHAnsi" w:cstheme="minorHAnsi"/>
        </w:rPr>
        <w:t xml:space="preserve"> </w:t>
      </w:r>
      <w:proofErr w:type="spellStart"/>
      <w:r w:rsidRPr="00B45799">
        <w:rPr>
          <w:rFonts w:asciiTheme="minorHAnsi" w:hAnsiTheme="minorHAnsi" w:cstheme="minorHAnsi"/>
        </w:rPr>
        <w:t>Criticism</w:t>
      </w:r>
      <w:proofErr w:type="spellEnd"/>
      <w:r w:rsidRPr="00B45799">
        <w:rPr>
          <w:rFonts w:asciiTheme="minorHAnsi" w:hAnsiTheme="minorHAnsi" w:cstheme="minorHAnsi"/>
        </w:rPr>
        <w:t xml:space="preserve"> and </w:t>
      </w:r>
      <w:proofErr w:type="spellStart"/>
      <w:r w:rsidRPr="00B45799">
        <w:rPr>
          <w:rFonts w:asciiTheme="minorHAnsi" w:hAnsiTheme="minorHAnsi" w:cstheme="minorHAnsi"/>
        </w:rPr>
        <w:t>the</w:t>
      </w:r>
      <w:proofErr w:type="spellEnd"/>
      <w:r w:rsidRPr="00B45799">
        <w:rPr>
          <w:rFonts w:asciiTheme="minorHAnsi" w:hAnsiTheme="minorHAnsi" w:cstheme="minorHAnsi"/>
        </w:rPr>
        <w:t xml:space="preserve"> </w:t>
      </w:r>
      <w:proofErr w:type="spellStart"/>
      <w:r w:rsidRPr="00B45799">
        <w:rPr>
          <w:rFonts w:asciiTheme="minorHAnsi" w:hAnsiTheme="minorHAnsi" w:cstheme="minorHAnsi"/>
        </w:rPr>
        <w:t>Sciences</w:t>
      </w:r>
      <w:proofErr w:type="spellEnd"/>
      <w:r w:rsidRPr="00B45799">
        <w:rPr>
          <w:rFonts w:asciiTheme="minorHAnsi" w:hAnsiTheme="minorHAnsi" w:cstheme="minorHAnsi"/>
        </w:rPr>
        <w:t xml:space="preserve"> </w:t>
      </w:r>
      <w:proofErr w:type="spellStart"/>
      <w:r w:rsidRPr="00B45799">
        <w:rPr>
          <w:rFonts w:asciiTheme="minorHAnsi" w:hAnsiTheme="minorHAnsi" w:cstheme="minorHAnsi"/>
        </w:rPr>
        <w:t>of</w:t>
      </w:r>
      <w:proofErr w:type="spellEnd"/>
      <w:r w:rsidRPr="00B45799">
        <w:rPr>
          <w:rFonts w:asciiTheme="minorHAnsi" w:hAnsiTheme="minorHAnsi" w:cstheme="minorHAnsi"/>
        </w:rPr>
        <w:t xml:space="preserve"> Man", en la Universidad John Hopkins en 1966. Detonó todo un proceso que transformará los departamentos de Literatura y de Humanidades de las principales universidades norteamericanas. En ese congreso estuvieron presentes europeos como Barthes, Derrida, Lacan, Lucien </w:t>
      </w:r>
      <w:proofErr w:type="spellStart"/>
      <w:r w:rsidRPr="00B45799">
        <w:rPr>
          <w:rFonts w:asciiTheme="minorHAnsi" w:hAnsiTheme="minorHAnsi" w:cstheme="minorHAnsi"/>
        </w:rPr>
        <w:t>Goldmann</w:t>
      </w:r>
      <w:proofErr w:type="spellEnd"/>
      <w:r w:rsidRPr="00B45799">
        <w:rPr>
          <w:rFonts w:asciiTheme="minorHAnsi" w:hAnsiTheme="minorHAnsi" w:cstheme="minorHAnsi"/>
        </w:rPr>
        <w:t xml:space="preserve"> y Tzvetan Todorov. Faltaron Jakobson, Genette y Deleuze, pero enviaron sus textos.</w:t>
      </w:r>
    </w:p>
  </w:footnote>
  <w:footnote w:id="3">
    <w:p w:rsidR="0031414D" w:rsidRPr="00B45799" w:rsidRDefault="0031414D" w:rsidP="0031414D">
      <w:pPr>
        <w:pStyle w:val="Textoindependiente"/>
        <w:spacing w:after="0"/>
        <w:jc w:val="both"/>
        <w:rPr>
          <w:rFonts w:asciiTheme="minorHAnsi" w:hAnsiTheme="minorHAnsi" w:cstheme="minorHAnsi"/>
          <w:sz w:val="20"/>
          <w:szCs w:val="20"/>
        </w:rPr>
      </w:pPr>
      <w:r w:rsidRPr="00B45799">
        <w:rPr>
          <w:rStyle w:val="Refdenotaalpie"/>
          <w:rFonts w:asciiTheme="minorHAnsi" w:hAnsiTheme="minorHAnsi" w:cstheme="minorHAnsi"/>
          <w:sz w:val="20"/>
          <w:szCs w:val="20"/>
        </w:rPr>
        <w:footnoteRef/>
      </w:r>
      <w:r w:rsidRPr="00B45799">
        <w:rPr>
          <w:rFonts w:asciiTheme="minorHAnsi" w:hAnsiTheme="minorHAnsi" w:cstheme="minorHAnsi"/>
          <w:sz w:val="20"/>
          <w:szCs w:val="20"/>
        </w:rPr>
        <w:t xml:space="preserve"> A</w:t>
      </w:r>
      <w:r w:rsidRPr="00B45799">
        <w:rPr>
          <w:rFonts w:asciiTheme="minorHAnsi" w:hAnsiTheme="minorHAnsi" w:cstheme="minorHAnsi"/>
          <w:color w:val="000000"/>
          <w:sz w:val="20"/>
          <w:szCs w:val="20"/>
        </w:rPr>
        <w:t xml:space="preserve">unque en su uso inglés original </w:t>
      </w:r>
      <w:proofErr w:type="spellStart"/>
      <w:r w:rsidRPr="00B45799">
        <w:rPr>
          <w:rFonts w:asciiTheme="minorHAnsi" w:hAnsiTheme="minorHAnsi" w:cstheme="minorHAnsi"/>
          <w:i/>
          <w:iCs/>
          <w:color w:val="000000"/>
          <w:sz w:val="20"/>
          <w:szCs w:val="20"/>
        </w:rPr>
        <w:t>queer</w:t>
      </w:r>
      <w:proofErr w:type="spellEnd"/>
      <w:r w:rsidRPr="00B45799">
        <w:rPr>
          <w:rFonts w:asciiTheme="minorHAnsi" w:hAnsiTheme="minorHAnsi" w:cstheme="minorHAnsi"/>
          <w:color w:val="000000"/>
          <w:sz w:val="20"/>
          <w:szCs w:val="20"/>
        </w:rPr>
        <w:t xml:space="preserve"> fue sinónimo de </w:t>
      </w:r>
      <w:proofErr w:type="spellStart"/>
      <w:r w:rsidRPr="00B45799">
        <w:rPr>
          <w:rFonts w:asciiTheme="minorHAnsi" w:hAnsiTheme="minorHAnsi" w:cstheme="minorHAnsi"/>
          <w:i/>
          <w:iCs/>
          <w:color w:val="000000"/>
          <w:sz w:val="20"/>
          <w:szCs w:val="20"/>
        </w:rPr>
        <w:t>odd</w:t>
      </w:r>
      <w:proofErr w:type="spellEnd"/>
      <w:r w:rsidRPr="00B45799">
        <w:rPr>
          <w:rFonts w:asciiTheme="minorHAnsi" w:hAnsiTheme="minorHAnsi" w:cstheme="minorHAnsi"/>
          <w:color w:val="000000"/>
          <w:sz w:val="20"/>
          <w:szCs w:val="20"/>
        </w:rPr>
        <w:t xml:space="preserve"> (raro), </w:t>
      </w:r>
      <w:r w:rsidRPr="00B45799">
        <w:rPr>
          <w:rFonts w:asciiTheme="minorHAnsi" w:hAnsiTheme="minorHAnsi" w:cstheme="minorHAnsi"/>
          <w:i/>
          <w:iCs/>
          <w:sz w:val="20"/>
          <w:szCs w:val="20"/>
        </w:rPr>
        <w:t>“</w:t>
      </w:r>
      <w:r w:rsidRPr="00B45799">
        <w:rPr>
          <w:rFonts w:asciiTheme="minorHAnsi" w:hAnsiTheme="minorHAnsi" w:cstheme="minorHAnsi"/>
          <w:sz w:val="20"/>
          <w:szCs w:val="20"/>
        </w:rPr>
        <w:t>[l]</w:t>
      </w:r>
      <w:r w:rsidRPr="00B45799">
        <w:rPr>
          <w:rFonts w:asciiTheme="minorHAnsi" w:hAnsiTheme="minorHAnsi" w:cstheme="minorHAnsi"/>
          <w:i/>
          <w:iCs/>
          <w:sz w:val="20"/>
          <w:szCs w:val="20"/>
        </w:rPr>
        <w:t xml:space="preserve">a trayectoria de la palabra </w:t>
      </w:r>
      <w:proofErr w:type="spellStart"/>
      <w:r w:rsidRPr="00B45799">
        <w:rPr>
          <w:rFonts w:asciiTheme="minorHAnsi" w:hAnsiTheme="minorHAnsi" w:cstheme="minorHAnsi"/>
          <w:i/>
          <w:iCs/>
          <w:sz w:val="20"/>
          <w:szCs w:val="20"/>
        </w:rPr>
        <w:t>queer</w:t>
      </w:r>
      <w:proofErr w:type="spellEnd"/>
      <w:r w:rsidRPr="00B45799">
        <w:rPr>
          <w:rFonts w:asciiTheme="minorHAnsi" w:hAnsiTheme="minorHAnsi" w:cstheme="minorHAnsi"/>
          <w:i/>
          <w:iCs/>
          <w:sz w:val="20"/>
          <w:szCs w:val="20"/>
        </w:rPr>
        <w:t xml:space="preserve"> comienza con el siglo XX, en algunas partes de las islas británicas, donde era usada para referirse a homosexuales hombres. (…) constituyó un término derogatorio (…) No obstante, ‘gay’ triunfó como el rótulo popular para los homosexuales aún después de que la liberación gay se desvaneció en los tardíos 70s. En los 80s, la falta de habilidad de las instituciones médicas y políticas para manejar en forma efectiva los aspectos biosociales de la crisis del sida resultó en una acción política radical por parte de miembros de comunidades </w:t>
      </w:r>
      <w:proofErr w:type="spellStart"/>
      <w:r w:rsidRPr="00B45799">
        <w:rPr>
          <w:rFonts w:asciiTheme="minorHAnsi" w:hAnsiTheme="minorHAnsi" w:cstheme="minorHAnsi"/>
          <w:i/>
          <w:iCs/>
          <w:sz w:val="20"/>
          <w:szCs w:val="20"/>
        </w:rPr>
        <w:t>gays</w:t>
      </w:r>
      <w:proofErr w:type="spellEnd"/>
      <w:r w:rsidRPr="00B45799">
        <w:rPr>
          <w:rFonts w:asciiTheme="minorHAnsi" w:hAnsiTheme="minorHAnsi" w:cstheme="minorHAnsi"/>
          <w:i/>
          <w:iCs/>
          <w:sz w:val="20"/>
          <w:szCs w:val="20"/>
        </w:rPr>
        <w:t xml:space="preserve"> del mundo (...) ‘Gay’ pasó a ser el término de un pasado utópico pre Sida y ‘</w:t>
      </w:r>
      <w:proofErr w:type="spellStart"/>
      <w:r w:rsidRPr="00B45799">
        <w:rPr>
          <w:rFonts w:asciiTheme="minorHAnsi" w:hAnsiTheme="minorHAnsi" w:cstheme="minorHAnsi"/>
          <w:i/>
          <w:iCs/>
          <w:sz w:val="20"/>
          <w:szCs w:val="20"/>
        </w:rPr>
        <w:t>queer</w:t>
      </w:r>
      <w:proofErr w:type="spellEnd"/>
      <w:r w:rsidRPr="00B45799">
        <w:rPr>
          <w:rFonts w:asciiTheme="minorHAnsi" w:hAnsiTheme="minorHAnsi" w:cstheme="minorHAnsi"/>
          <w:i/>
          <w:iCs/>
          <w:sz w:val="20"/>
          <w:szCs w:val="20"/>
        </w:rPr>
        <w:t>’ fue reapropiado como símbolo de la disidencia política y social que caracterizó los conflictos políticos de la era del Sida</w:t>
      </w:r>
      <w:r w:rsidRPr="00B45799">
        <w:rPr>
          <w:rFonts w:asciiTheme="minorHAnsi" w:hAnsiTheme="minorHAnsi" w:cstheme="minorHAnsi"/>
          <w:sz w:val="20"/>
          <w:szCs w:val="20"/>
        </w:rPr>
        <w:t>. (</w:t>
      </w:r>
      <w:proofErr w:type="spellStart"/>
      <w:r w:rsidRPr="00B45799">
        <w:rPr>
          <w:rFonts w:asciiTheme="minorHAnsi" w:hAnsiTheme="minorHAnsi" w:cstheme="minorHAnsi"/>
          <w:sz w:val="20"/>
          <w:szCs w:val="20"/>
        </w:rPr>
        <w:t>Bardela</w:t>
      </w:r>
      <w:proofErr w:type="spellEnd"/>
      <w:r w:rsidRPr="00B45799">
        <w:rPr>
          <w:rFonts w:asciiTheme="minorHAnsi" w:hAnsiTheme="minorHAnsi" w:cstheme="minorHAnsi"/>
          <w:sz w:val="20"/>
          <w:szCs w:val="20"/>
        </w:rPr>
        <w:t xml:space="preserve">, 2001:119) En los primeros años noventa, el movimiento </w:t>
      </w:r>
      <w:proofErr w:type="spellStart"/>
      <w:r w:rsidRPr="00B45799">
        <w:rPr>
          <w:rFonts w:asciiTheme="minorHAnsi" w:hAnsiTheme="minorHAnsi" w:cstheme="minorHAnsi"/>
          <w:i/>
          <w:iCs/>
          <w:sz w:val="20"/>
          <w:szCs w:val="20"/>
        </w:rPr>
        <w:t>queer</w:t>
      </w:r>
      <w:proofErr w:type="spellEnd"/>
      <w:r w:rsidRPr="00B45799">
        <w:rPr>
          <w:rFonts w:asciiTheme="minorHAnsi" w:hAnsiTheme="minorHAnsi" w:cstheme="minorHAnsi"/>
          <w:sz w:val="20"/>
          <w:szCs w:val="20"/>
        </w:rPr>
        <w:t xml:space="preserve"> adoptó la palabra en actitud de “sabemos que nos llaman así”, como un término paraguas que incluía a </w:t>
      </w:r>
      <w:proofErr w:type="spellStart"/>
      <w:r w:rsidRPr="00B45799">
        <w:rPr>
          <w:rFonts w:asciiTheme="minorHAnsi" w:hAnsiTheme="minorHAnsi" w:cstheme="minorHAnsi"/>
          <w:sz w:val="20"/>
          <w:szCs w:val="20"/>
        </w:rPr>
        <w:t>gays</w:t>
      </w:r>
      <w:proofErr w:type="spellEnd"/>
      <w:r w:rsidRPr="00B45799">
        <w:rPr>
          <w:rFonts w:asciiTheme="minorHAnsi" w:hAnsiTheme="minorHAnsi" w:cstheme="minorHAnsi"/>
          <w:sz w:val="20"/>
          <w:szCs w:val="20"/>
        </w:rPr>
        <w:t xml:space="preserve">, lesbianas, bisexuales, travestis, transgéneros y transexuales, intentando ir más allá de los “estudios sobre </w:t>
      </w:r>
      <w:proofErr w:type="spellStart"/>
      <w:r w:rsidRPr="00B45799">
        <w:rPr>
          <w:rFonts w:asciiTheme="minorHAnsi" w:hAnsiTheme="minorHAnsi" w:cstheme="minorHAnsi"/>
          <w:sz w:val="20"/>
          <w:szCs w:val="20"/>
        </w:rPr>
        <w:t>gays</w:t>
      </w:r>
      <w:proofErr w:type="spellEnd"/>
      <w:r w:rsidRPr="00B45799">
        <w:rPr>
          <w:rFonts w:asciiTheme="minorHAnsi" w:hAnsiTheme="minorHAnsi" w:cstheme="minorHAnsi"/>
          <w:sz w:val="20"/>
          <w:szCs w:val="20"/>
        </w:rPr>
        <w:t xml:space="preserve"> y lesbianas” y abordar la “heteronormatividad”.</w:t>
      </w:r>
    </w:p>
  </w:footnote>
  <w:footnote w:id="4">
    <w:p w:rsidR="0031414D" w:rsidRPr="00B45799" w:rsidRDefault="0031414D" w:rsidP="0031414D">
      <w:pPr>
        <w:pStyle w:val="Textonotapie"/>
        <w:jc w:val="both"/>
        <w:rPr>
          <w:rFonts w:asciiTheme="minorHAnsi" w:hAnsiTheme="minorHAnsi" w:cstheme="minorHAnsi"/>
        </w:rPr>
      </w:pPr>
      <w:r w:rsidRPr="00B45799">
        <w:rPr>
          <w:rStyle w:val="Refdenotaalpie"/>
          <w:rFonts w:asciiTheme="minorHAnsi" w:hAnsiTheme="minorHAnsi" w:cstheme="minorHAnsi"/>
        </w:rPr>
        <w:footnoteRef/>
      </w:r>
      <w:r w:rsidRPr="00B45799">
        <w:rPr>
          <w:rFonts w:asciiTheme="minorHAnsi" w:hAnsiTheme="minorHAnsi" w:cstheme="minorHAnsi"/>
        </w:rPr>
        <w:t xml:space="preserve"> Teorías desarrolladas por intelectuales de la diáspora de las </w:t>
      </w:r>
      <w:proofErr w:type="spellStart"/>
      <w:r w:rsidRPr="00B45799">
        <w:rPr>
          <w:rFonts w:asciiTheme="minorHAnsi" w:hAnsiTheme="minorHAnsi" w:cstheme="minorHAnsi"/>
        </w:rPr>
        <w:t>ex-colonias</w:t>
      </w:r>
      <w:proofErr w:type="spellEnd"/>
      <w:r w:rsidRPr="00B45799">
        <w:rPr>
          <w:rFonts w:asciiTheme="minorHAnsi" w:hAnsiTheme="minorHAnsi" w:cstheme="minorHAnsi"/>
        </w:rPr>
        <w:t xml:space="preserve"> francesas y británicas, que luego de terminada la colonización, destacan las dificultades para ensamblar una identidad cultural y se comprometen con la deconstrucción de su legado, sus estructuras de poder y sus jerarquías sociales.</w:t>
      </w:r>
    </w:p>
  </w:footnote>
  <w:footnote w:id="5">
    <w:p w:rsidR="0031414D" w:rsidRPr="00B45799" w:rsidRDefault="0031414D" w:rsidP="0031414D">
      <w:pPr>
        <w:pStyle w:val="Textonotapie"/>
        <w:jc w:val="both"/>
        <w:rPr>
          <w:rFonts w:asciiTheme="minorHAnsi" w:hAnsiTheme="minorHAnsi" w:cstheme="minorHAnsi"/>
        </w:rPr>
      </w:pPr>
      <w:r w:rsidRPr="00B45799">
        <w:rPr>
          <w:rStyle w:val="Refdenotaalpie"/>
          <w:rFonts w:asciiTheme="minorHAnsi" w:hAnsiTheme="minorHAnsi" w:cstheme="minorHAnsi"/>
        </w:rPr>
        <w:footnoteRef/>
      </w:r>
      <w:r w:rsidRPr="00B45799">
        <w:rPr>
          <w:rFonts w:asciiTheme="minorHAnsi" w:hAnsiTheme="minorHAnsi" w:cstheme="minorHAnsi"/>
        </w:rPr>
        <w:t xml:space="preserve"> “Doctrina epistemológica que considera que una realidad compleja no se reduce a la suma de sus elementos, sino que constituye un sistema global regido por leyes.” Diccionario Enciclopédico Nuevo Espasa. Ed. Espasa Calpe S.A. 2003</w:t>
      </w:r>
    </w:p>
  </w:footnote>
  <w:footnote w:id="6">
    <w:p w:rsidR="0031414D" w:rsidRPr="00B45799" w:rsidRDefault="0031414D" w:rsidP="0031414D">
      <w:pPr>
        <w:pStyle w:val="Textonotapie"/>
        <w:jc w:val="both"/>
        <w:rPr>
          <w:rFonts w:asciiTheme="minorHAnsi" w:hAnsiTheme="minorHAnsi" w:cstheme="minorHAnsi"/>
        </w:rPr>
      </w:pPr>
      <w:r w:rsidRPr="00B45799">
        <w:rPr>
          <w:rStyle w:val="Refdenotaalpie"/>
          <w:rFonts w:asciiTheme="minorHAnsi" w:hAnsiTheme="minorHAnsi" w:cstheme="minorHAnsi"/>
        </w:rPr>
        <w:footnoteRef/>
      </w:r>
      <w:r w:rsidRPr="00B45799">
        <w:rPr>
          <w:rFonts w:asciiTheme="minorHAnsi" w:hAnsiTheme="minorHAnsi" w:cstheme="minorHAnsi"/>
        </w:rPr>
        <w:t xml:space="preserve">  Término que usaron pensadores de las ex colonias franco-británicas para designar el “significante colonial” en el que éstas todavía se expresan.</w:t>
      </w:r>
    </w:p>
  </w:footnote>
  <w:footnote w:id="7">
    <w:p w:rsidR="0031414D" w:rsidRPr="00B45799" w:rsidRDefault="0031414D" w:rsidP="0031414D">
      <w:pPr>
        <w:pStyle w:val="Textonotapie"/>
        <w:jc w:val="both"/>
        <w:rPr>
          <w:rFonts w:asciiTheme="minorHAnsi" w:hAnsiTheme="minorHAnsi" w:cstheme="minorHAnsi"/>
        </w:rPr>
      </w:pPr>
      <w:r w:rsidRPr="00B45799">
        <w:rPr>
          <w:rStyle w:val="Refdenotaalpie"/>
          <w:rFonts w:asciiTheme="minorHAnsi" w:hAnsiTheme="minorHAnsi" w:cstheme="minorHAnsi"/>
        </w:rPr>
        <w:footnoteRef/>
      </w:r>
      <w:r w:rsidRPr="00B45799">
        <w:rPr>
          <w:rFonts w:asciiTheme="minorHAnsi" w:hAnsiTheme="minorHAnsi" w:cstheme="minorHAnsi"/>
        </w:rPr>
        <w:t xml:space="preserve">  Nos referimos al sociólogo peruano Aníbal Quijano (universidad de Binghamton en Nueva York), no incluimos textos en el programa 2015 porque está incluido en Teoría Sociológica II</w:t>
      </w:r>
    </w:p>
  </w:footnote>
  <w:footnote w:id="8">
    <w:p w:rsidR="0031414D" w:rsidRPr="00B45799" w:rsidRDefault="0031414D" w:rsidP="0031414D">
      <w:pPr>
        <w:pStyle w:val="Textonotapie"/>
        <w:jc w:val="both"/>
        <w:rPr>
          <w:rFonts w:asciiTheme="minorHAnsi" w:hAnsiTheme="minorHAnsi" w:cstheme="minorHAnsi"/>
        </w:rPr>
      </w:pPr>
      <w:r w:rsidRPr="00B45799">
        <w:rPr>
          <w:rStyle w:val="Refdenotaalpie"/>
          <w:rFonts w:asciiTheme="minorHAnsi" w:hAnsiTheme="minorHAnsi" w:cstheme="minorHAnsi"/>
        </w:rPr>
        <w:footnoteRef/>
      </w:r>
      <w:r w:rsidRPr="00B45799">
        <w:rPr>
          <w:rFonts w:asciiTheme="minorHAnsi" w:hAnsiTheme="minorHAnsi" w:cstheme="minorHAnsi"/>
          <w:color w:val="000000"/>
        </w:rPr>
        <w:t xml:space="preserve"> Red académico-activista generada a partir del </w:t>
      </w:r>
      <w:proofErr w:type="spellStart"/>
      <w:r w:rsidRPr="00B45799">
        <w:rPr>
          <w:rFonts w:asciiTheme="minorHAnsi" w:hAnsiTheme="minorHAnsi" w:cstheme="minorHAnsi"/>
          <w:color w:val="000000"/>
        </w:rPr>
        <w:t>Institute</w:t>
      </w:r>
      <w:proofErr w:type="spellEnd"/>
      <w:r w:rsidRPr="00B45799">
        <w:rPr>
          <w:rFonts w:asciiTheme="minorHAnsi" w:hAnsiTheme="minorHAnsi" w:cstheme="minorHAnsi"/>
          <w:color w:val="000000"/>
        </w:rPr>
        <w:t xml:space="preserve"> </w:t>
      </w:r>
      <w:proofErr w:type="spellStart"/>
      <w:r w:rsidRPr="00B45799">
        <w:rPr>
          <w:rFonts w:asciiTheme="minorHAnsi" w:hAnsiTheme="minorHAnsi" w:cstheme="minorHAnsi"/>
          <w:color w:val="000000"/>
        </w:rPr>
        <w:t>for</w:t>
      </w:r>
      <w:proofErr w:type="spellEnd"/>
      <w:r w:rsidRPr="00B45799">
        <w:rPr>
          <w:rFonts w:asciiTheme="minorHAnsi" w:hAnsiTheme="minorHAnsi" w:cstheme="minorHAnsi"/>
          <w:color w:val="000000"/>
        </w:rPr>
        <w:t xml:space="preserve"> </w:t>
      </w:r>
      <w:proofErr w:type="spellStart"/>
      <w:r w:rsidRPr="00B45799">
        <w:rPr>
          <w:rFonts w:asciiTheme="minorHAnsi" w:hAnsiTheme="minorHAnsi" w:cstheme="minorHAnsi"/>
          <w:color w:val="000000"/>
        </w:rPr>
        <w:t>Policy</w:t>
      </w:r>
      <w:proofErr w:type="spellEnd"/>
      <w:r w:rsidRPr="00B45799">
        <w:rPr>
          <w:rFonts w:asciiTheme="minorHAnsi" w:hAnsiTheme="minorHAnsi" w:cstheme="minorHAnsi"/>
          <w:color w:val="000000"/>
        </w:rPr>
        <w:t xml:space="preserve"> </w:t>
      </w:r>
      <w:proofErr w:type="spellStart"/>
      <w:r w:rsidRPr="00B45799">
        <w:rPr>
          <w:rFonts w:asciiTheme="minorHAnsi" w:hAnsiTheme="minorHAnsi" w:cstheme="minorHAnsi"/>
          <w:color w:val="000000"/>
        </w:rPr>
        <w:t>Studies</w:t>
      </w:r>
      <w:proofErr w:type="spellEnd"/>
      <w:r w:rsidRPr="00B45799">
        <w:rPr>
          <w:rFonts w:asciiTheme="minorHAnsi" w:hAnsiTheme="minorHAnsi" w:cstheme="minorHAnsi"/>
          <w:color w:val="000000"/>
        </w:rPr>
        <w:t xml:space="preserve"> de Washington D.C. pero independizada con fina</w:t>
      </w:r>
      <w:r>
        <w:rPr>
          <w:rFonts w:asciiTheme="minorHAnsi" w:hAnsiTheme="minorHAnsi" w:cstheme="minorHAnsi"/>
          <w:color w:val="000000"/>
        </w:rPr>
        <w:t>n</w:t>
      </w:r>
      <w:r w:rsidRPr="00B45799">
        <w:rPr>
          <w:rFonts w:asciiTheme="minorHAnsi" w:hAnsiTheme="minorHAnsi" w:cstheme="minorHAnsi"/>
          <w:color w:val="000000"/>
        </w:rPr>
        <w:t>ciación de organizaciones pacifistas, religiosas y ecologistas, ministerios europeos de Exteriores, la Comisión Europea y fundaciones de USA y Europa.</w:t>
      </w:r>
    </w:p>
  </w:footnote>
  <w:footnote w:id="9">
    <w:p w:rsidR="00F152A1" w:rsidRPr="00B45799" w:rsidRDefault="00F152A1" w:rsidP="00F152A1">
      <w:pPr>
        <w:pStyle w:val="Textonotapie"/>
        <w:jc w:val="both"/>
        <w:rPr>
          <w:rFonts w:asciiTheme="minorHAnsi" w:hAnsiTheme="minorHAnsi" w:cstheme="minorHAnsi"/>
          <w:lang w:val="en-GB"/>
        </w:rPr>
      </w:pPr>
      <w:r w:rsidRPr="00B45799">
        <w:rPr>
          <w:rStyle w:val="Refdenotaalpie"/>
          <w:rFonts w:asciiTheme="minorHAnsi" w:hAnsiTheme="minorHAnsi" w:cstheme="minorHAnsi"/>
        </w:rPr>
        <w:footnoteRef/>
      </w:r>
      <w:r w:rsidRPr="00B45799">
        <w:rPr>
          <w:rFonts w:asciiTheme="minorHAnsi" w:hAnsiTheme="minorHAnsi" w:cstheme="minorHAnsi"/>
        </w:rPr>
        <w:t xml:space="preserve"> La Delhi </w:t>
      </w:r>
      <w:proofErr w:type="spellStart"/>
      <w:r w:rsidRPr="00B45799">
        <w:rPr>
          <w:rFonts w:asciiTheme="minorHAnsi" w:hAnsiTheme="minorHAnsi" w:cstheme="minorHAnsi"/>
        </w:rPr>
        <w:t>Lecture</w:t>
      </w:r>
      <w:proofErr w:type="spellEnd"/>
      <w:r w:rsidRPr="00B45799">
        <w:rPr>
          <w:rFonts w:asciiTheme="minorHAnsi" w:hAnsiTheme="minorHAnsi" w:cstheme="minorHAnsi"/>
        </w:rPr>
        <w:t xml:space="preserve"> fue su conferencia inaugural como </w:t>
      </w:r>
      <w:proofErr w:type="spellStart"/>
      <w:r w:rsidRPr="00B45799">
        <w:rPr>
          <w:rFonts w:asciiTheme="minorHAnsi" w:hAnsiTheme="minorHAnsi" w:cstheme="minorHAnsi"/>
        </w:rPr>
        <w:t>prof</w:t>
      </w:r>
      <w:r>
        <w:rPr>
          <w:rFonts w:asciiTheme="minorHAnsi" w:hAnsiTheme="minorHAnsi" w:cstheme="minorHAnsi"/>
        </w:rPr>
        <w:t>.</w:t>
      </w:r>
      <w:proofErr w:type="spellEnd"/>
      <w:r w:rsidRPr="00B45799">
        <w:rPr>
          <w:rFonts w:asciiTheme="minorHAnsi" w:hAnsiTheme="minorHAnsi" w:cstheme="minorHAnsi"/>
        </w:rPr>
        <w:t xml:space="preserve"> visitante en la Universidad de Columbia (2001), cuyas ideas más significativas recogió y actualizó en su libro LAS POLÍTICAS DE LOS GOBERNADOS (Chatterjee, </w:t>
      </w:r>
      <w:proofErr w:type="spellStart"/>
      <w:r w:rsidRPr="00B45799">
        <w:rPr>
          <w:rFonts w:asciiTheme="minorHAnsi" w:hAnsiTheme="minorHAnsi" w:cstheme="minorHAnsi"/>
        </w:rPr>
        <w:t>Partha</w:t>
      </w:r>
      <w:proofErr w:type="spellEnd"/>
      <w:r w:rsidRPr="00B45799">
        <w:rPr>
          <w:rFonts w:asciiTheme="minorHAnsi" w:hAnsiTheme="minorHAnsi" w:cstheme="minorHAnsi"/>
        </w:rPr>
        <w:t xml:space="preserve"> (2004): THE POLITICS OF THE GOVERNED. </w:t>
      </w:r>
      <w:r w:rsidRPr="00B45799">
        <w:rPr>
          <w:rFonts w:asciiTheme="minorHAnsi" w:hAnsiTheme="minorHAnsi" w:cstheme="minorHAnsi"/>
          <w:lang w:val="en-GB"/>
        </w:rPr>
        <w:t xml:space="preserve">REFLECTIONS ON POLITICS IN MOST OF THE WORLD. Columbia, NY University Press. </w:t>
      </w:r>
      <w:r w:rsidRPr="00B45799">
        <w:rPr>
          <w:rFonts w:asciiTheme="minorHAnsi" w:hAnsiTheme="minorHAnsi" w:cstheme="minorHAnsi"/>
        </w:rPr>
        <w:t xml:space="preserve">Una parte está en español en: Chatterjee, </w:t>
      </w:r>
      <w:proofErr w:type="spellStart"/>
      <w:r w:rsidRPr="00B45799">
        <w:rPr>
          <w:rFonts w:asciiTheme="minorHAnsi" w:hAnsiTheme="minorHAnsi" w:cstheme="minorHAnsi"/>
        </w:rPr>
        <w:t>Partha</w:t>
      </w:r>
      <w:proofErr w:type="spellEnd"/>
      <w:r w:rsidRPr="00B45799">
        <w:rPr>
          <w:rFonts w:asciiTheme="minorHAnsi" w:hAnsiTheme="minorHAnsi" w:cstheme="minorHAnsi"/>
        </w:rPr>
        <w:t xml:space="preserve"> (2007): LA NACIÓN EN TIEMPO HETEROGÉNEO. Buenos Aires: CLACSO/ Siglo XXI. (Capítulo III, "Modernidad, sociedad, política y democracia", subtítulo La política de los gobernados, págs. </w:t>
      </w:r>
      <w:r w:rsidRPr="00B45799">
        <w:rPr>
          <w:rFonts w:asciiTheme="minorHAnsi" w:hAnsiTheme="minorHAnsi" w:cstheme="minorHAnsi"/>
          <w:lang w:val="en-GB"/>
        </w:rPr>
        <w:t>123-154)</w:t>
      </w:r>
    </w:p>
  </w:footnote>
  <w:footnote w:id="10">
    <w:p w:rsidR="00F152A1" w:rsidRPr="00B45799" w:rsidRDefault="00F152A1" w:rsidP="00F152A1">
      <w:pPr>
        <w:pStyle w:val="Textonotapie"/>
        <w:jc w:val="both"/>
        <w:rPr>
          <w:rFonts w:asciiTheme="minorHAnsi" w:hAnsiTheme="minorHAnsi" w:cstheme="minorHAnsi"/>
        </w:rPr>
      </w:pPr>
      <w:r w:rsidRPr="00B45799">
        <w:rPr>
          <w:rStyle w:val="Refdenotaalpie"/>
          <w:rFonts w:asciiTheme="minorHAnsi" w:hAnsiTheme="minorHAnsi" w:cstheme="minorHAnsi"/>
        </w:rPr>
        <w:footnoteRef/>
      </w:r>
      <w:r w:rsidRPr="00B45799">
        <w:rPr>
          <w:rFonts w:asciiTheme="minorHAnsi" w:hAnsiTheme="minorHAnsi" w:cstheme="minorHAnsi"/>
          <w:lang w:val="en-GB"/>
        </w:rPr>
        <w:t xml:space="preserve"> </w:t>
      </w:r>
      <w:proofErr w:type="spellStart"/>
      <w:r w:rsidRPr="00B45799">
        <w:rPr>
          <w:rFonts w:asciiTheme="minorHAnsi" w:hAnsiTheme="minorHAnsi" w:cstheme="minorHAnsi"/>
          <w:lang w:val="en-GB"/>
        </w:rPr>
        <w:t>En</w:t>
      </w:r>
      <w:proofErr w:type="spellEnd"/>
      <w:r w:rsidRPr="00B45799">
        <w:rPr>
          <w:rFonts w:asciiTheme="minorHAnsi" w:hAnsiTheme="minorHAnsi" w:cstheme="minorHAnsi"/>
          <w:lang w:val="en-GB"/>
        </w:rPr>
        <w:t xml:space="preserve">: C. Nelson y L. Grossberg (comps.), Marxism and the Interpretation of Culture, Basingstoke, Macmillan Education, 1988, pp. 271-313; </w:t>
      </w:r>
      <w:proofErr w:type="spellStart"/>
      <w:r w:rsidRPr="00B45799">
        <w:rPr>
          <w:rFonts w:asciiTheme="minorHAnsi" w:hAnsiTheme="minorHAnsi" w:cstheme="minorHAnsi"/>
          <w:lang w:val="en-GB"/>
        </w:rPr>
        <w:t>reimpreso</w:t>
      </w:r>
      <w:proofErr w:type="spellEnd"/>
      <w:r w:rsidRPr="00B45799">
        <w:rPr>
          <w:rFonts w:asciiTheme="minorHAnsi" w:hAnsiTheme="minorHAnsi" w:cstheme="minorHAnsi"/>
          <w:lang w:val="en-GB"/>
        </w:rPr>
        <w:t xml:space="preserve"> </w:t>
      </w:r>
      <w:proofErr w:type="spellStart"/>
      <w:r w:rsidRPr="00B45799">
        <w:rPr>
          <w:rFonts w:asciiTheme="minorHAnsi" w:hAnsiTheme="minorHAnsi" w:cstheme="minorHAnsi"/>
          <w:lang w:val="en-GB"/>
        </w:rPr>
        <w:t>en</w:t>
      </w:r>
      <w:proofErr w:type="spellEnd"/>
      <w:r w:rsidRPr="00B45799">
        <w:rPr>
          <w:rFonts w:asciiTheme="minorHAnsi" w:hAnsiTheme="minorHAnsi" w:cstheme="minorHAnsi"/>
          <w:lang w:val="en-GB"/>
        </w:rPr>
        <w:t xml:space="preserve">: P. Williams y L. Chrisman (Comps), Colonial Discourse and Post-Colonial Theory, NY, Columbia University Press, 1994, pp. 66-111. </w:t>
      </w:r>
      <w:r w:rsidRPr="00B45799">
        <w:rPr>
          <w:rFonts w:asciiTheme="minorHAnsi" w:hAnsiTheme="minorHAnsi" w:cstheme="minorHAnsi"/>
        </w:rPr>
        <w:t xml:space="preserve">[Nota del traductor: La presente versión sigue la publicación de la Columbia </w:t>
      </w:r>
      <w:proofErr w:type="spellStart"/>
      <w:r w:rsidRPr="00B45799">
        <w:rPr>
          <w:rFonts w:asciiTheme="minorHAnsi" w:hAnsiTheme="minorHAnsi" w:cstheme="minorHAnsi"/>
        </w:rPr>
        <w:t>University</w:t>
      </w:r>
      <w:proofErr w:type="spellEnd"/>
      <w:r w:rsidRPr="00B45799">
        <w:rPr>
          <w:rFonts w:asciiTheme="minorHAnsi" w:hAnsiTheme="minorHAnsi" w:cstheme="minorHAnsi"/>
        </w:rPr>
        <w:t xml:space="preserve"> </w:t>
      </w:r>
      <w:proofErr w:type="spellStart"/>
      <w:r w:rsidRPr="00B45799">
        <w:rPr>
          <w:rFonts w:asciiTheme="minorHAnsi" w:hAnsiTheme="minorHAnsi" w:cstheme="minorHAnsi"/>
        </w:rPr>
        <w:t>Press</w:t>
      </w:r>
      <w:proofErr w:type="spellEnd"/>
      <w:r w:rsidRPr="00B45799">
        <w:rPr>
          <w:rFonts w:asciiTheme="minorHAnsi" w:hAnsiTheme="minorHAnsi" w:cstheme="minorHAnsi"/>
        </w:rPr>
        <w:t xml:space="preserve">; la autora ha cedido expresamente los derechos de la presente traducción a la revista Orbis </w:t>
      </w:r>
      <w:proofErr w:type="spellStart"/>
      <w:r w:rsidRPr="00B45799">
        <w:rPr>
          <w:rFonts w:asciiTheme="minorHAnsi" w:hAnsiTheme="minorHAnsi" w:cstheme="minorHAnsi"/>
        </w:rPr>
        <w:t>Tertius</w:t>
      </w:r>
      <w:proofErr w:type="spellEnd"/>
      <w:r w:rsidRPr="00B45799">
        <w:rPr>
          <w:rFonts w:asciiTheme="minorHAnsi" w:hAnsiTheme="minorHAnsi" w:cstheme="minorHAnsi"/>
        </w:rPr>
        <w:t>].</w:t>
      </w:r>
    </w:p>
  </w:footnote>
  <w:footnote w:id="11">
    <w:p w:rsidR="00F152A1" w:rsidRPr="00B45799" w:rsidRDefault="00F152A1" w:rsidP="00F152A1">
      <w:pPr>
        <w:pStyle w:val="Textonotapie"/>
        <w:jc w:val="both"/>
        <w:rPr>
          <w:rFonts w:asciiTheme="minorHAnsi" w:hAnsiTheme="minorHAnsi" w:cstheme="minorHAnsi"/>
        </w:rPr>
      </w:pPr>
      <w:r w:rsidRPr="00B45799">
        <w:rPr>
          <w:rStyle w:val="Refdenotaalpie"/>
          <w:rFonts w:asciiTheme="minorHAnsi" w:hAnsiTheme="minorHAnsi" w:cstheme="minorHAnsi"/>
        </w:rPr>
        <w:footnoteRef/>
      </w:r>
      <w:r w:rsidRPr="00B45799">
        <w:rPr>
          <w:rFonts w:asciiTheme="minorHAnsi" w:hAnsiTheme="minorHAnsi" w:cstheme="minorHAnsi"/>
        </w:rPr>
        <w:t xml:space="preserve"> </w:t>
      </w:r>
      <w:r w:rsidRPr="00B45799">
        <w:rPr>
          <w:rFonts w:asciiTheme="minorHAnsi" w:hAnsiTheme="minorHAnsi" w:cstheme="minorHAnsi"/>
          <w:lang w:val="es-ES_tradnl"/>
        </w:rPr>
        <w:t xml:space="preserve">El artículo fue publicado originalmente antes de editar el libro, en 1985 en la revista </w:t>
      </w:r>
      <w:proofErr w:type="spellStart"/>
      <w:r w:rsidRPr="00B45799">
        <w:rPr>
          <w:rFonts w:asciiTheme="minorHAnsi" w:hAnsiTheme="minorHAnsi" w:cstheme="minorHAnsi"/>
          <w:lang w:val="es-ES_tradnl"/>
        </w:rPr>
        <w:t>Critical</w:t>
      </w:r>
      <w:proofErr w:type="spellEnd"/>
      <w:r w:rsidRPr="00B45799">
        <w:rPr>
          <w:rFonts w:asciiTheme="minorHAnsi" w:hAnsiTheme="minorHAnsi" w:cstheme="minorHAnsi"/>
          <w:lang w:val="es-ES_tradnl"/>
        </w:rPr>
        <w:t xml:space="preserve"> </w:t>
      </w:r>
      <w:proofErr w:type="spellStart"/>
      <w:r w:rsidRPr="00B45799">
        <w:rPr>
          <w:rFonts w:asciiTheme="minorHAnsi" w:hAnsiTheme="minorHAnsi" w:cstheme="minorHAnsi"/>
          <w:lang w:val="es-ES_tradnl"/>
        </w:rPr>
        <w:t>Inquiry</w:t>
      </w:r>
      <w:proofErr w:type="spellEnd"/>
      <w:r w:rsidRPr="00B45799">
        <w:rPr>
          <w:rFonts w:asciiTheme="minorHAnsi" w:hAnsiTheme="minorHAnsi" w:cstheme="minorHAnsi"/>
          <w:lang w:val="es-ES_tradnl"/>
        </w:rPr>
        <w:t>, 12.1 (1985): 144-165.</w:t>
      </w:r>
    </w:p>
  </w:footnote>
  <w:footnote w:id="12">
    <w:p w:rsidR="00F152A1" w:rsidRPr="00B45799" w:rsidRDefault="00F152A1" w:rsidP="00F152A1">
      <w:pPr>
        <w:pStyle w:val="Textonotapie"/>
        <w:jc w:val="both"/>
        <w:rPr>
          <w:rFonts w:asciiTheme="minorHAnsi" w:hAnsiTheme="minorHAnsi" w:cstheme="minorHAnsi"/>
        </w:rPr>
      </w:pPr>
      <w:r w:rsidRPr="00B45799">
        <w:rPr>
          <w:rStyle w:val="Refdenotaalpie"/>
          <w:rFonts w:asciiTheme="minorHAnsi" w:hAnsiTheme="minorHAnsi" w:cstheme="minorHAnsi"/>
        </w:rPr>
        <w:footnoteRef/>
      </w:r>
      <w:r w:rsidRPr="00B45799">
        <w:rPr>
          <w:rFonts w:asciiTheme="minorHAnsi" w:hAnsiTheme="minorHAnsi" w:cstheme="minorHAnsi"/>
        </w:rPr>
        <w:t xml:space="preserve"> El artículo que contiene estas ideas ya fue publicado antes: </w:t>
      </w:r>
      <w:proofErr w:type="spellStart"/>
      <w:r w:rsidRPr="00B45799">
        <w:rPr>
          <w:rFonts w:asciiTheme="minorHAnsi" w:hAnsiTheme="minorHAnsi" w:cstheme="minorHAnsi"/>
        </w:rPr>
        <w:t>Sommer</w:t>
      </w:r>
      <w:proofErr w:type="spellEnd"/>
      <w:r w:rsidRPr="00B45799">
        <w:rPr>
          <w:rFonts w:asciiTheme="minorHAnsi" w:hAnsiTheme="minorHAnsi" w:cstheme="minorHAnsi"/>
        </w:rPr>
        <w:t xml:space="preserve">, Doris (1990/2010): “Un romance irresistible: las ficciones fundacionales de América Latina.” En </w:t>
      </w:r>
      <w:proofErr w:type="spellStart"/>
      <w:r w:rsidRPr="00B45799">
        <w:rPr>
          <w:rFonts w:asciiTheme="minorHAnsi" w:hAnsiTheme="minorHAnsi" w:cstheme="minorHAnsi"/>
        </w:rPr>
        <w:t>Bhabha</w:t>
      </w:r>
      <w:proofErr w:type="spellEnd"/>
      <w:r w:rsidRPr="00B45799">
        <w:rPr>
          <w:rFonts w:asciiTheme="minorHAnsi" w:hAnsiTheme="minorHAnsi" w:cstheme="minorHAnsi"/>
        </w:rPr>
        <w:t xml:space="preserve">, </w:t>
      </w:r>
      <w:proofErr w:type="spellStart"/>
      <w:r w:rsidRPr="00B45799">
        <w:rPr>
          <w:rFonts w:asciiTheme="minorHAnsi" w:hAnsiTheme="minorHAnsi" w:cstheme="minorHAnsi"/>
        </w:rPr>
        <w:t>Homi</w:t>
      </w:r>
      <w:proofErr w:type="spellEnd"/>
      <w:r w:rsidRPr="00B45799">
        <w:rPr>
          <w:rFonts w:asciiTheme="minorHAnsi" w:hAnsiTheme="minorHAnsi" w:cstheme="minorHAnsi"/>
        </w:rPr>
        <w:t xml:space="preserve"> (</w:t>
      </w:r>
      <w:proofErr w:type="spellStart"/>
      <w:r w:rsidRPr="00B45799">
        <w:rPr>
          <w:rFonts w:asciiTheme="minorHAnsi" w:hAnsiTheme="minorHAnsi" w:cstheme="minorHAnsi"/>
        </w:rPr>
        <w:t>comp.</w:t>
      </w:r>
      <w:proofErr w:type="spellEnd"/>
      <w:r w:rsidRPr="00B45799">
        <w:rPr>
          <w:rFonts w:asciiTheme="minorHAnsi" w:hAnsiTheme="minorHAnsi" w:cstheme="minorHAnsi"/>
        </w:rPr>
        <w:t>): NACIÓN Y NARRACIÓN –</w:t>
      </w:r>
      <w:bookmarkStart w:id="0" w:name="_GoBack"/>
      <w:bookmarkEnd w:id="0"/>
      <w:r w:rsidRPr="00B45799">
        <w:rPr>
          <w:rFonts w:asciiTheme="minorHAnsi" w:hAnsiTheme="minorHAnsi" w:cstheme="minorHAnsi"/>
        </w:rPr>
        <w:t>ENTRE LA ILUSIÓN DE UNA IDENTIDAD Y LAS DIFERENCIAS CULTURALES.  Siglo XXI, Buenos Aires. Págs</w:t>
      </w:r>
      <w:r>
        <w:rPr>
          <w:rFonts w:asciiTheme="minorHAnsi" w:hAnsiTheme="minorHAnsi" w:cstheme="minorHAnsi"/>
        </w:rPr>
        <w:t>.</w:t>
      </w:r>
      <w:r w:rsidRPr="00B45799">
        <w:rPr>
          <w:rFonts w:asciiTheme="minorHAnsi" w:hAnsiTheme="minorHAnsi" w:cstheme="minorHAnsi"/>
        </w:rPr>
        <w:t xml:space="preserve"> 99-134</w:t>
      </w:r>
      <w:r>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FBE" w:rsidRPr="001F3FBE" w:rsidRDefault="001F3FBE" w:rsidP="001F3FBE">
    <w:pPr>
      <w:pStyle w:val="Encabezado"/>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419"/>
    <w:multiLevelType w:val="hybridMultilevel"/>
    <w:tmpl w:val="EB2C7684"/>
    <w:lvl w:ilvl="0" w:tplc="380A0017">
      <w:start w:val="1"/>
      <w:numFmt w:val="lowerLetter"/>
      <w:lvlText w:val="%1)"/>
      <w:lvlJc w:val="left"/>
      <w:pPr>
        <w:ind w:left="1440" w:hanging="360"/>
      </w:pPr>
    </w:lvl>
    <w:lvl w:ilvl="1" w:tplc="380A0019">
      <w:start w:val="1"/>
      <w:numFmt w:val="lowerLetter"/>
      <w:lvlText w:val="%2."/>
      <w:lvlJc w:val="left"/>
      <w:pPr>
        <w:ind w:left="2160" w:hanging="360"/>
      </w:pPr>
    </w:lvl>
    <w:lvl w:ilvl="2" w:tplc="380A001B" w:tentative="1">
      <w:start w:val="1"/>
      <w:numFmt w:val="lowerRoman"/>
      <w:lvlText w:val="%3."/>
      <w:lvlJc w:val="right"/>
      <w:pPr>
        <w:ind w:left="2880" w:hanging="180"/>
      </w:pPr>
    </w:lvl>
    <w:lvl w:ilvl="3" w:tplc="380A000F" w:tentative="1">
      <w:start w:val="1"/>
      <w:numFmt w:val="decimal"/>
      <w:lvlText w:val="%4."/>
      <w:lvlJc w:val="left"/>
      <w:pPr>
        <w:ind w:left="3600" w:hanging="360"/>
      </w:pPr>
    </w:lvl>
    <w:lvl w:ilvl="4" w:tplc="380A0019" w:tentative="1">
      <w:start w:val="1"/>
      <w:numFmt w:val="lowerLetter"/>
      <w:lvlText w:val="%5."/>
      <w:lvlJc w:val="left"/>
      <w:pPr>
        <w:ind w:left="4320" w:hanging="360"/>
      </w:pPr>
    </w:lvl>
    <w:lvl w:ilvl="5" w:tplc="380A001B" w:tentative="1">
      <w:start w:val="1"/>
      <w:numFmt w:val="lowerRoman"/>
      <w:lvlText w:val="%6."/>
      <w:lvlJc w:val="right"/>
      <w:pPr>
        <w:ind w:left="5040" w:hanging="180"/>
      </w:pPr>
    </w:lvl>
    <w:lvl w:ilvl="6" w:tplc="380A000F" w:tentative="1">
      <w:start w:val="1"/>
      <w:numFmt w:val="decimal"/>
      <w:lvlText w:val="%7."/>
      <w:lvlJc w:val="left"/>
      <w:pPr>
        <w:ind w:left="5760" w:hanging="360"/>
      </w:pPr>
    </w:lvl>
    <w:lvl w:ilvl="7" w:tplc="380A0019" w:tentative="1">
      <w:start w:val="1"/>
      <w:numFmt w:val="lowerLetter"/>
      <w:lvlText w:val="%8."/>
      <w:lvlJc w:val="left"/>
      <w:pPr>
        <w:ind w:left="6480" w:hanging="360"/>
      </w:pPr>
    </w:lvl>
    <w:lvl w:ilvl="8" w:tplc="380A001B" w:tentative="1">
      <w:start w:val="1"/>
      <w:numFmt w:val="lowerRoman"/>
      <w:lvlText w:val="%9."/>
      <w:lvlJc w:val="right"/>
      <w:pPr>
        <w:ind w:left="7200" w:hanging="180"/>
      </w:pPr>
    </w:lvl>
  </w:abstractNum>
  <w:abstractNum w:abstractNumId="1" w15:restartNumberingAfterBreak="0">
    <w:nsid w:val="08892106"/>
    <w:multiLevelType w:val="hybridMultilevel"/>
    <w:tmpl w:val="382C797C"/>
    <w:lvl w:ilvl="0" w:tplc="380A0017">
      <w:start w:val="1"/>
      <w:numFmt w:val="lowerLetter"/>
      <w:lvlText w:val="%1)"/>
      <w:lvlJc w:val="left"/>
      <w:pPr>
        <w:ind w:left="1287" w:hanging="360"/>
      </w:pPr>
      <w:rPr>
        <w:rFonts w:hint="default"/>
      </w:rPr>
    </w:lvl>
    <w:lvl w:ilvl="1" w:tplc="380A0003" w:tentative="1">
      <w:start w:val="1"/>
      <w:numFmt w:val="bullet"/>
      <w:lvlText w:val="o"/>
      <w:lvlJc w:val="left"/>
      <w:pPr>
        <w:ind w:left="2007" w:hanging="360"/>
      </w:pPr>
      <w:rPr>
        <w:rFonts w:ascii="Courier New" w:hAnsi="Courier New" w:cs="Courier New" w:hint="default"/>
      </w:rPr>
    </w:lvl>
    <w:lvl w:ilvl="2" w:tplc="380A0005" w:tentative="1">
      <w:start w:val="1"/>
      <w:numFmt w:val="bullet"/>
      <w:lvlText w:val=""/>
      <w:lvlJc w:val="left"/>
      <w:pPr>
        <w:ind w:left="2727" w:hanging="360"/>
      </w:pPr>
      <w:rPr>
        <w:rFonts w:ascii="Wingdings" w:hAnsi="Wingdings" w:hint="default"/>
      </w:rPr>
    </w:lvl>
    <w:lvl w:ilvl="3" w:tplc="380A0001" w:tentative="1">
      <w:start w:val="1"/>
      <w:numFmt w:val="bullet"/>
      <w:lvlText w:val=""/>
      <w:lvlJc w:val="left"/>
      <w:pPr>
        <w:ind w:left="3447" w:hanging="360"/>
      </w:pPr>
      <w:rPr>
        <w:rFonts w:ascii="Symbol" w:hAnsi="Symbol" w:hint="default"/>
      </w:rPr>
    </w:lvl>
    <w:lvl w:ilvl="4" w:tplc="380A0003" w:tentative="1">
      <w:start w:val="1"/>
      <w:numFmt w:val="bullet"/>
      <w:lvlText w:val="o"/>
      <w:lvlJc w:val="left"/>
      <w:pPr>
        <w:ind w:left="4167" w:hanging="360"/>
      </w:pPr>
      <w:rPr>
        <w:rFonts w:ascii="Courier New" w:hAnsi="Courier New" w:cs="Courier New" w:hint="default"/>
      </w:rPr>
    </w:lvl>
    <w:lvl w:ilvl="5" w:tplc="380A0005" w:tentative="1">
      <w:start w:val="1"/>
      <w:numFmt w:val="bullet"/>
      <w:lvlText w:val=""/>
      <w:lvlJc w:val="left"/>
      <w:pPr>
        <w:ind w:left="4887" w:hanging="360"/>
      </w:pPr>
      <w:rPr>
        <w:rFonts w:ascii="Wingdings" w:hAnsi="Wingdings" w:hint="default"/>
      </w:rPr>
    </w:lvl>
    <w:lvl w:ilvl="6" w:tplc="380A0001" w:tentative="1">
      <w:start w:val="1"/>
      <w:numFmt w:val="bullet"/>
      <w:lvlText w:val=""/>
      <w:lvlJc w:val="left"/>
      <w:pPr>
        <w:ind w:left="5607" w:hanging="360"/>
      </w:pPr>
      <w:rPr>
        <w:rFonts w:ascii="Symbol" w:hAnsi="Symbol" w:hint="default"/>
      </w:rPr>
    </w:lvl>
    <w:lvl w:ilvl="7" w:tplc="380A0003" w:tentative="1">
      <w:start w:val="1"/>
      <w:numFmt w:val="bullet"/>
      <w:lvlText w:val="o"/>
      <w:lvlJc w:val="left"/>
      <w:pPr>
        <w:ind w:left="6327" w:hanging="360"/>
      </w:pPr>
      <w:rPr>
        <w:rFonts w:ascii="Courier New" w:hAnsi="Courier New" w:cs="Courier New" w:hint="default"/>
      </w:rPr>
    </w:lvl>
    <w:lvl w:ilvl="8" w:tplc="380A0005" w:tentative="1">
      <w:start w:val="1"/>
      <w:numFmt w:val="bullet"/>
      <w:lvlText w:val=""/>
      <w:lvlJc w:val="left"/>
      <w:pPr>
        <w:ind w:left="7047" w:hanging="360"/>
      </w:pPr>
      <w:rPr>
        <w:rFonts w:ascii="Wingdings" w:hAnsi="Wingdings" w:hint="default"/>
      </w:rPr>
    </w:lvl>
  </w:abstractNum>
  <w:abstractNum w:abstractNumId="2" w15:restartNumberingAfterBreak="0">
    <w:nsid w:val="0CBC43D2"/>
    <w:multiLevelType w:val="hybridMultilevel"/>
    <w:tmpl w:val="C88E7850"/>
    <w:lvl w:ilvl="0" w:tplc="FCF871C0">
      <w:start w:val="1"/>
      <w:numFmt w:val="lowerLetter"/>
      <w:lvlText w:val="%1)"/>
      <w:lvlJc w:val="left"/>
      <w:pPr>
        <w:ind w:left="720" w:hanging="360"/>
      </w:pPr>
      <w:rPr>
        <w:b w:val="0"/>
        <w:bCs w:val="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15:restartNumberingAfterBreak="0">
    <w:nsid w:val="4FB76D8A"/>
    <w:multiLevelType w:val="hybridMultilevel"/>
    <w:tmpl w:val="48C07750"/>
    <w:lvl w:ilvl="0" w:tplc="380A0001">
      <w:start w:val="1"/>
      <w:numFmt w:val="bullet"/>
      <w:lvlText w:val=""/>
      <w:lvlJc w:val="left"/>
      <w:pPr>
        <w:ind w:left="1287" w:hanging="360"/>
      </w:pPr>
      <w:rPr>
        <w:rFonts w:ascii="Symbol" w:hAnsi="Symbol" w:hint="default"/>
      </w:rPr>
    </w:lvl>
    <w:lvl w:ilvl="1" w:tplc="380A0003" w:tentative="1">
      <w:start w:val="1"/>
      <w:numFmt w:val="bullet"/>
      <w:lvlText w:val="o"/>
      <w:lvlJc w:val="left"/>
      <w:pPr>
        <w:ind w:left="2007" w:hanging="360"/>
      </w:pPr>
      <w:rPr>
        <w:rFonts w:ascii="Courier New" w:hAnsi="Courier New" w:cs="Courier New" w:hint="default"/>
      </w:rPr>
    </w:lvl>
    <w:lvl w:ilvl="2" w:tplc="380A0005" w:tentative="1">
      <w:start w:val="1"/>
      <w:numFmt w:val="bullet"/>
      <w:lvlText w:val=""/>
      <w:lvlJc w:val="left"/>
      <w:pPr>
        <w:ind w:left="2727" w:hanging="360"/>
      </w:pPr>
      <w:rPr>
        <w:rFonts w:ascii="Wingdings" w:hAnsi="Wingdings" w:hint="default"/>
      </w:rPr>
    </w:lvl>
    <w:lvl w:ilvl="3" w:tplc="380A0001" w:tentative="1">
      <w:start w:val="1"/>
      <w:numFmt w:val="bullet"/>
      <w:lvlText w:val=""/>
      <w:lvlJc w:val="left"/>
      <w:pPr>
        <w:ind w:left="3447" w:hanging="360"/>
      </w:pPr>
      <w:rPr>
        <w:rFonts w:ascii="Symbol" w:hAnsi="Symbol" w:hint="default"/>
      </w:rPr>
    </w:lvl>
    <w:lvl w:ilvl="4" w:tplc="380A0003" w:tentative="1">
      <w:start w:val="1"/>
      <w:numFmt w:val="bullet"/>
      <w:lvlText w:val="o"/>
      <w:lvlJc w:val="left"/>
      <w:pPr>
        <w:ind w:left="4167" w:hanging="360"/>
      </w:pPr>
      <w:rPr>
        <w:rFonts w:ascii="Courier New" w:hAnsi="Courier New" w:cs="Courier New" w:hint="default"/>
      </w:rPr>
    </w:lvl>
    <w:lvl w:ilvl="5" w:tplc="380A0005" w:tentative="1">
      <w:start w:val="1"/>
      <w:numFmt w:val="bullet"/>
      <w:lvlText w:val=""/>
      <w:lvlJc w:val="left"/>
      <w:pPr>
        <w:ind w:left="4887" w:hanging="360"/>
      </w:pPr>
      <w:rPr>
        <w:rFonts w:ascii="Wingdings" w:hAnsi="Wingdings" w:hint="default"/>
      </w:rPr>
    </w:lvl>
    <w:lvl w:ilvl="6" w:tplc="380A0001" w:tentative="1">
      <w:start w:val="1"/>
      <w:numFmt w:val="bullet"/>
      <w:lvlText w:val=""/>
      <w:lvlJc w:val="left"/>
      <w:pPr>
        <w:ind w:left="5607" w:hanging="360"/>
      </w:pPr>
      <w:rPr>
        <w:rFonts w:ascii="Symbol" w:hAnsi="Symbol" w:hint="default"/>
      </w:rPr>
    </w:lvl>
    <w:lvl w:ilvl="7" w:tplc="380A0003" w:tentative="1">
      <w:start w:val="1"/>
      <w:numFmt w:val="bullet"/>
      <w:lvlText w:val="o"/>
      <w:lvlJc w:val="left"/>
      <w:pPr>
        <w:ind w:left="6327" w:hanging="360"/>
      </w:pPr>
      <w:rPr>
        <w:rFonts w:ascii="Courier New" w:hAnsi="Courier New" w:cs="Courier New" w:hint="default"/>
      </w:rPr>
    </w:lvl>
    <w:lvl w:ilvl="8" w:tplc="380A0005" w:tentative="1">
      <w:start w:val="1"/>
      <w:numFmt w:val="bullet"/>
      <w:lvlText w:val=""/>
      <w:lvlJc w:val="left"/>
      <w:pPr>
        <w:ind w:left="7047" w:hanging="360"/>
      </w:pPr>
      <w:rPr>
        <w:rFonts w:ascii="Wingdings" w:hAnsi="Wingdings" w:hint="default"/>
      </w:rPr>
    </w:lvl>
  </w:abstractNum>
  <w:abstractNum w:abstractNumId="4" w15:restartNumberingAfterBreak="0">
    <w:nsid w:val="6F5E3970"/>
    <w:multiLevelType w:val="hybridMultilevel"/>
    <w:tmpl w:val="2F6A6B0A"/>
    <w:lvl w:ilvl="0" w:tplc="380A000F">
      <w:start w:val="1"/>
      <w:numFmt w:val="decimal"/>
      <w:lvlText w:val="%1."/>
      <w:lvlJc w:val="left"/>
      <w:pPr>
        <w:ind w:left="720" w:hanging="360"/>
      </w:pPr>
      <w:rPr>
        <w:rFonts w:hint="default"/>
      </w:rPr>
    </w:lvl>
    <w:lvl w:ilvl="1" w:tplc="F9AE138C">
      <w:start w:val="1"/>
      <w:numFmt w:val="decimal"/>
      <w:lvlText w:val="%2."/>
      <w:lvlJc w:val="left"/>
      <w:pPr>
        <w:ind w:left="1440" w:hanging="360"/>
      </w:pPr>
      <w:rPr>
        <w:rFonts w:hint="default"/>
      </w:r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947"/>
    <w:rsid w:val="00131947"/>
    <w:rsid w:val="001B5F04"/>
    <w:rsid w:val="001F3FBE"/>
    <w:rsid w:val="00301584"/>
    <w:rsid w:val="0031414D"/>
    <w:rsid w:val="003F4889"/>
    <w:rsid w:val="00444DDE"/>
    <w:rsid w:val="004B2BB7"/>
    <w:rsid w:val="00635017"/>
    <w:rsid w:val="0065401D"/>
    <w:rsid w:val="007C4FEA"/>
    <w:rsid w:val="00A138FC"/>
    <w:rsid w:val="00BF24A0"/>
    <w:rsid w:val="00DD67E7"/>
    <w:rsid w:val="00F152A1"/>
    <w:rsid w:val="00F24406"/>
    <w:rsid w:val="00F24FD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3338E"/>
  <w15:chartTrackingRefBased/>
  <w15:docId w15:val="{95122376-DDB9-406E-AED5-B59C634BF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F152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3F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3FBE"/>
  </w:style>
  <w:style w:type="paragraph" w:styleId="Piedepgina">
    <w:name w:val="footer"/>
    <w:basedOn w:val="Normal"/>
    <w:link w:val="PiedepginaCar"/>
    <w:uiPriority w:val="99"/>
    <w:unhideWhenUsed/>
    <w:rsid w:val="001F3F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3FBE"/>
  </w:style>
  <w:style w:type="paragraph" w:styleId="Prrafodelista">
    <w:name w:val="List Paragraph"/>
    <w:basedOn w:val="Normal"/>
    <w:uiPriority w:val="72"/>
    <w:qFormat/>
    <w:rsid w:val="001F3FBE"/>
    <w:pPr>
      <w:ind w:left="720"/>
      <w:contextualSpacing/>
    </w:pPr>
  </w:style>
  <w:style w:type="character" w:styleId="nfasis">
    <w:name w:val="Emphasis"/>
    <w:qFormat/>
    <w:rsid w:val="001F3FBE"/>
    <w:rPr>
      <w:i/>
      <w:iCs/>
    </w:rPr>
  </w:style>
  <w:style w:type="paragraph" w:styleId="Textodeglobo">
    <w:name w:val="Balloon Text"/>
    <w:basedOn w:val="Normal"/>
    <w:link w:val="TextodegloboCar"/>
    <w:uiPriority w:val="99"/>
    <w:semiHidden/>
    <w:unhideWhenUsed/>
    <w:rsid w:val="004B2BB7"/>
    <w:pPr>
      <w:spacing w:after="0" w:line="240" w:lineRule="auto"/>
    </w:pPr>
    <w:rPr>
      <w:rFonts w:ascii="Tahoma" w:eastAsia="Calibri" w:hAnsi="Tahoma" w:cs="Times New Roman"/>
      <w:sz w:val="16"/>
      <w:szCs w:val="16"/>
    </w:rPr>
  </w:style>
  <w:style w:type="character" w:customStyle="1" w:styleId="TextodegloboCar">
    <w:name w:val="Texto de globo Car"/>
    <w:basedOn w:val="Fuentedeprrafopredeter"/>
    <w:link w:val="Textodeglobo"/>
    <w:uiPriority w:val="99"/>
    <w:semiHidden/>
    <w:rsid w:val="004B2BB7"/>
    <w:rPr>
      <w:rFonts w:ascii="Tahoma" w:eastAsia="Calibri" w:hAnsi="Tahoma" w:cs="Times New Roman"/>
      <w:sz w:val="16"/>
      <w:szCs w:val="16"/>
    </w:rPr>
  </w:style>
  <w:style w:type="paragraph" w:styleId="Textonotapie">
    <w:name w:val="footnote text"/>
    <w:basedOn w:val="Normal"/>
    <w:link w:val="TextonotapieCar"/>
    <w:semiHidden/>
    <w:rsid w:val="0031414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1414D"/>
    <w:rPr>
      <w:rFonts w:ascii="Times New Roman" w:eastAsia="Times New Roman" w:hAnsi="Times New Roman" w:cs="Times New Roman"/>
      <w:sz w:val="20"/>
      <w:szCs w:val="20"/>
      <w:lang w:val="es-ES" w:eastAsia="es-ES"/>
    </w:rPr>
  </w:style>
  <w:style w:type="character" w:styleId="Refdenotaalpie">
    <w:name w:val="footnote reference"/>
    <w:semiHidden/>
    <w:rsid w:val="0031414D"/>
    <w:rPr>
      <w:rFonts w:cs="Times New Roman"/>
      <w:vertAlign w:val="superscript"/>
    </w:rPr>
  </w:style>
  <w:style w:type="paragraph" w:styleId="Textoindependiente">
    <w:name w:val="Body Text"/>
    <w:basedOn w:val="Normal"/>
    <w:link w:val="TextoindependienteCar"/>
    <w:rsid w:val="0031414D"/>
    <w:pPr>
      <w:spacing w:after="120" w:line="240" w:lineRule="auto"/>
    </w:pPr>
    <w:rPr>
      <w:rFonts w:ascii="Times New Roman" w:eastAsia="Times New Roman" w:hAnsi="Times New Roman" w:cs="Times New Roman"/>
      <w:sz w:val="24"/>
      <w:szCs w:val="24"/>
      <w:lang w:val="es-ES_tradnl" w:eastAsia="es-ES_tradnl"/>
    </w:rPr>
  </w:style>
  <w:style w:type="character" w:customStyle="1" w:styleId="TextoindependienteCar">
    <w:name w:val="Texto independiente Car"/>
    <w:basedOn w:val="Fuentedeprrafopredeter"/>
    <w:link w:val="Textoindependiente"/>
    <w:rsid w:val="0031414D"/>
    <w:rPr>
      <w:rFonts w:ascii="Times New Roman" w:eastAsia="Times New Roman" w:hAnsi="Times New Roman" w:cs="Times New Roman"/>
      <w:sz w:val="24"/>
      <w:szCs w:val="24"/>
      <w:lang w:val="es-ES_tradnl" w:eastAsia="es-ES_tradnl"/>
    </w:rPr>
  </w:style>
  <w:style w:type="character" w:customStyle="1" w:styleId="Ttulo1Car">
    <w:name w:val="Título 1 Car"/>
    <w:basedOn w:val="Fuentedeprrafopredeter"/>
    <w:link w:val="Ttulo1"/>
    <w:uiPriority w:val="9"/>
    <w:rsid w:val="00F152A1"/>
    <w:rPr>
      <w:rFonts w:ascii="Times New Roman" w:eastAsia="Times New Roman" w:hAnsi="Times New Roman" w:cs="Times New Roman"/>
      <w:b/>
      <w:bCs/>
      <w:kern w:val="36"/>
      <w:sz w:val="48"/>
      <w:szCs w:val="48"/>
      <w:lang w:eastAsia="es-UY"/>
    </w:rPr>
  </w:style>
  <w:style w:type="character" w:styleId="Hipervnculo">
    <w:name w:val="Hyperlink"/>
    <w:uiPriority w:val="99"/>
    <w:unhideWhenUsed/>
    <w:rsid w:val="00F152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jpeg"/><Relationship Id="rId29" Type="http://schemas.openxmlformats.org/officeDocument/2006/relationships/hyperlink" Target="http://www.fuentesmemoria.fahce.unlp.edu.ar/art_revistas/pr.2732/pr.273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oleObject" Target="embeddings/oleObject5.bin"/><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14</Pages>
  <Words>5613</Words>
  <Characters>30873</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TENENBAUM</dc:creator>
  <cp:keywords/>
  <dc:description/>
  <cp:lastModifiedBy>GABRIEL TENENBAUM</cp:lastModifiedBy>
  <cp:revision>8</cp:revision>
  <dcterms:created xsi:type="dcterms:W3CDTF">2019-06-18T15:09:00Z</dcterms:created>
  <dcterms:modified xsi:type="dcterms:W3CDTF">2019-06-18T19:00:00Z</dcterms:modified>
</cp:coreProperties>
</file>